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B1565" w:rsidR="00624FE4" w:rsidP="00A96D45" w:rsidRDefault="00624FE4" w14:paraId="06CE863B" w14:textId="0DB447F1">
      <w:pPr>
        <w:jc w:val="center"/>
        <w:rPr>
          <w:b/>
          <w:bCs/>
          <w:u w:val="single"/>
        </w:rPr>
      </w:pPr>
      <w:r w:rsidRPr="005B1565">
        <w:rPr>
          <w:b/>
          <w:bCs/>
          <w:u w:val="single"/>
        </w:rPr>
        <w:t>Equalities Statement September 2024</w:t>
      </w:r>
    </w:p>
    <w:p w:rsidR="00624FE4" w:rsidRDefault="00624FE4" w14:paraId="0CE0C013" w14:textId="66A8CB50">
      <w:r w:rsidRPr="00624FE4">
        <w:t>At Little Bowden Primary School, we believe in the importance of equality and everybody having the same opportunities. This is modelled by our staff and taught through lessons and other experiences both discretely and explicitly.</w:t>
      </w:r>
    </w:p>
    <w:p w:rsidRPr="00931BDF" w:rsidR="00931BDF" w:rsidP="00931BDF" w:rsidRDefault="00624FE4" w14:paraId="4C13E617" w14:textId="1B675985">
      <w:r>
        <w:t xml:space="preserve">PSHCE is our main curriculum driver. This is supported by the ‘No Outsiders’ programme, </w:t>
      </w:r>
      <w:r w:rsidR="002C674E">
        <w:t xml:space="preserve">whose strapline is ‘All different, All welcome”. </w:t>
      </w:r>
      <w:r w:rsidRPr="00931BDF" w:rsidR="00931BDF">
        <w:t>No Outsiders has three core values:</w:t>
      </w:r>
    </w:p>
    <w:p w:rsidRPr="00931BDF" w:rsidR="00931BDF" w:rsidP="00931BDF" w:rsidRDefault="00931BDF" w14:paraId="326EE369" w14:textId="77777777">
      <w:pPr>
        <w:numPr>
          <w:ilvl w:val="0"/>
          <w:numId w:val="1"/>
        </w:numPr>
      </w:pPr>
      <w:r w:rsidRPr="00931BDF">
        <w:t xml:space="preserve">Respect for diversity through education in </w:t>
      </w:r>
      <w:proofErr w:type="gramStart"/>
      <w:r w:rsidRPr="00931BDF">
        <w:t>schools;</w:t>
      </w:r>
      <w:proofErr w:type="gramEnd"/>
    </w:p>
    <w:p w:rsidRPr="00931BDF" w:rsidR="00931BDF" w:rsidP="00931BDF" w:rsidRDefault="00931BDF" w14:paraId="631711ED" w14:textId="77777777">
      <w:pPr>
        <w:numPr>
          <w:ilvl w:val="0"/>
          <w:numId w:val="1"/>
        </w:numPr>
      </w:pPr>
      <w:r w:rsidRPr="00931BDF">
        <w:t xml:space="preserve">Commitment to community cohesion through understanding and acceptance of </w:t>
      </w:r>
      <w:proofErr w:type="gramStart"/>
      <w:r w:rsidRPr="00931BDF">
        <w:t>difference;</w:t>
      </w:r>
      <w:proofErr w:type="gramEnd"/>
    </w:p>
    <w:p w:rsidRPr="00931BDF" w:rsidR="00931BDF" w:rsidP="00931BDF" w:rsidRDefault="00931BDF" w14:paraId="31AF1785" w14:textId="344C7DFE">
      <w:pPr>
        <w:numPr>
          <w:ilvl w:val="0"/>
          <w:numId w:val="1"/>
        </w:numPr>
      </w:pPr>
      <w:r w:rsidRPr="00931BDF">
        <w:t>Promotion of dialogue to counter fear and hate in society.</w:t>
      </w:r>
    </w:p>
    <w:p w:rsidRPr="00931BDF" w:rsidR="00931BDF" w:rsidP="00931BDF" w:rsidRDefault="00931BDF" w14:paraId="252609E8" w14:textId="758A38CF">
      <w:r w:rsidRPr="00931BDF">
        <w:t>The No Outsiders programme involves the use of age-appropriate story books to explore seven of the protected characteristics of the Equality Act 2010. These include:</w:t>
      </w:r>
    </w:p>
    <w:p w:rsidRPr="00931BDF" w:rsidR="00931BDF" w:rsidP="00931BDF" w:rsidRDefault="00931BDF" w14:paraId="3F56D2C9" w14:textId="77777777">
      <w:pPr>
        <w:numPr>
          <w:ilvl w:val="0"/>
          <w:numId w:val="2"/>
        </w:numPr>
      </w:pPr>
      <w:proofErr w:type="gramStart"/>
      <w:r w:rsidRPr="00931BDF">
        <w:t>age;</w:t>
      </w:r>
      <w:proofErr w:type="gramEnd"/>
    </w:p>
    <w:p w:rsidRPr="00931BDF" w:rsidR="00931BDF" w:rsidP="00931BDF" w:rsidRDefault="00931BDF" w14:paraId="00E14A21" w14:textId="77777777">
      <w:pPr>
        <w:numPr>
          <w:ilvl w:val="0"/>
          <w:numId w:val="2"/>
        </w:numPr>
      </w:pPr>
      <w:proofErr w:type="gramStart"/>
      <w:r w:rsidRPr="00931BDF">
        <w:t>disability;</w:t>
      </w:r>
      <w:proofErr w:type="gramEnd"/>
    </w:p>
    <w:p w:rsidRPr="00931BDF" w:rsidR="00931BDF" w:rsidP="00931BDF" w:rsidRDefault="00931BDF" w14:paraId="5DE5970C" w14:textId="77777777">
      <w:pPr>
        <w:numPr>
          <w:ilvl w:val="0"/>
          <w:numId w:val="2"/>
        </w:numPr>
      </w:pPr>
      <w:r w:rsidRPr="00931BDF">
        <w:t xml:space="preserve">gender </w:t>
      </w:r>
      <w:proofErr w:type="gramStart"/>
      <w:r w:rsidRPr="00931BDF">
        <w:t>reassignment;</w:t>
      </w:r>
      <w:proofErr w:type="gramEnd"/>
    </w:p>
    <w:p w:rsidRPr="00931BDF" w:rsidR="00931BDF" w:rsidP="00931BDF" w:rsidRDefault="00931BDF" w14:paraId="4BE09701" w14:textId="77777777">
      <w:pPr>
        <w:numPr>
          <w:ilvl w:val="0"/>
          <w:numId w:val="2"/>
        </w:numPr>
      </w:pPr>
      <w:proofErr w:type="gramStart"/>
      <w:r w:rsidRPr="00931BDF">
        <w:t>race;</w:t>
      </w:r>
      <w:proofErr w:type="gramEnd"/>
    </w:p>
    <w:p w:rsidRPr="00931BDF" w:rsidR="00931BDF" w:rsidP="00931BDF" w:rsidRDefault="00931BDF" w14:paraId="020DD909" w14:textId="77777777">
      <w:pPr>
        <w:numPr>
          <w:ilvl w:val="0"/>
          <w:numId w:val="2"/>
        </w:numPr>
      </w:pPr>
      <w:r w:rsidRPr="00931BDF">
        <w:t xml:space="preserve">religion or </w:t>
      </w:r>
      <w:proofErr w:type="gramStart"/>
      <w:r w:rsidRPr="00931BDF">
        <w:t>belief;</w:t>
      </w:r>
      <w:proofErr w:type="gramEnd"/>
    </w:p>
    <w:p w:rsidRPr="00931BDF" w:rsidR="00931BDF" w:rsidP="00931BDF" w:rsidRDefault="00931BDF" w14:paraId="684BCF50" w14:textId="77777777">
      <w:pPr>
        <w:numPr>
          <w:ilvl w:val="0"/>
          <w:numId w:val="2"/>
        </w:numPr>
      </w:pPr>
      <w:proofErr w:type="gramStart"/>
      <w:r w:rsidRPr="00931BDF">
        <w:t>gender;</w:t>
      </w:r>
      <w:proofErr w:type="gramEnd"/>
    </w:p>
    <w:p w:rsidRPr="00931BDF" w:rsidR="00931BDF" w:rsidP="00931BDF" w:rsidRDefault="00931BDF" w14:paraId="6FEA24BC" w14:textId="0BF42EC8">
      <w:pPr>
        <w:numPr>
          <w:ilvl w:val="0"/>
          <w:numId w:val="2"/>
        </w:numPr>
      </w:pPr>
      <w:r w:rsidRPr="00931BDF">
        <w:t>sexual orientation.</w:t>
      </w:r>
    </w:p>
    <w:p w:rsidRPr="00931BDF" w:rsidR="00931BDF" w:rsidP="00931BDF" w:rsidRDefault="00931BDF" w14:paraId="049042C0" w14:textId="31B373E4">
      <w:r w:rsidRPr="00931BDF">
        <w:t>We strive to ensure that our pupils are surrounded by a consistent message:</w:t>
      </w:r>
    </w:p>
    <w:p w:rsidRPr="00931BDF" w:rsidR="00931BDF" w:rsidP="00931BDF" w:rsidRDefault="00931BDF" w14:paraId="2D5D7C5E" w14:textId="77777777">
      <w:pPr>
        <w:numPr>
          <w:ilvl w:val="0"/>
          <w:numId w:val="3"/>
        </w:numPr>
      </w:pPr>
      <w:r w:rsidRPr="00931BDF">
        <w:t xml:space="preserve">there are no outsiders at Little Bowden Primary </w:t>
      </w:r>
      <w:proofErr w:type="gramStart"/>
      <w:r w:rsidRPr="00931BDF">
        <w:t>School;</w:t>
      </w:r>
      <w:proofErr w:type="gramEnd"/>
    </w:p>
    <w:p w:rsidRPr="00931BDF" w:rsidR="00931BDF" w:rsidP="00931BDF" w:rsidRDefault="00931BDF" w14:paraId="7678F9F6" w14:textId="77777777">
      <w:pPr>
        <w:numPr>
          <w:ilvl w:val="0"/>
          <w:numId w:val="3"/>
        </w:numPr>
      </w:pPr>
      <w:r w:rsidRPr="00931BDF">
        <w:t xml:space="preserve">everyone is </w:t>
      </w:r>
      <w:proofErr w:type="gramStart"/>
      <w:r w:rsidRPr="00931BDF">
        <w:t>different;</w:t>
      </w:r>
      <w:proofErr w:type="gramEnd"/>
    </w:p>
    <w:p w:rsidRPr="00931BDF" w:rsidR="00931BDF" w:rsidP="00931BDF" w:rsidRDefault="00931BDF" w14:paraId="1A1A4E14" w14:textId="77777777">
      <w:pPr>
        <w:numPr>
          <w:ilvl w:val="0"/>
          <w:numId w:val="3"/>
        </w:numPr>
      </w:pPr>
      <w:r w:rsidRPr="00931BDF">
        <w:t xml:space="preserve">we like being </w:t>
      </w:r>
      <w:proofErr w:type="gramStart"/>
      <w:r w:rsidRPr="00931BDF">
        <w:t>different;</w:t>
      </w:r>
      <w:proofErr w:type="gramEnd"/>
    </w:p>
    <w:p w:rsidRPr="00931BDF" w:rsidR="00931BDF" w:rsidP="00931BDF" w:rsidRDefault="00931BDF" w14:paraId="7E32048B" w14:textId="77777777">
      <w:pPr>
        <w:numPr>
          <w:ilvl w:val="0"/>
          <w:numId w:val="3"/>
        </w:numPr>
      </w:pPr>
      <w:r w:rsidRPr="00931BDF">
        <w:t xml:space="preserve">we are all equal in our </w:t>
      </w:r>
      <w:proofErr w:type="gramStart"/>
      <w:r w:rsidRPr="00931BDF">
        <w:t>difference;</w:t>
      </w:r>
      <w:proofErr w:type="gramEnd"/>
    </w:p>
    <w:p w:rsidRPr="00931BDF" w:rsidR="00931BDF" w:rsidP="00931BDF" w:rsidRDefault="00931BDF" w14:paraId="5FE539F0" w14:textId="77777777">
      <w:pPr>
        <w:numPr>
          <w:ilvl w:val="0"/>
          <w:numId w:val="3"/>
        </w:numPr>
      </w:pPr>
      <w:r w:rsidRPr="00931BDF">
        <w:t xml:space="preserve">I can get along with you even if we are </w:t>
      </w:r>
      <w:proofErr w:type="gramStart"/>
      <w:r w:rsidRPr="00931BDF">
        <w:t>different;</w:t>
      </w:r>
      <w:proofErr w:type="gramEnd"/>
    </w:p>
    <w:p w:rsidR="00931BDF" w:rsidP="00931BDF" w:rsidRDefault="00931BDF" w14:paraId="6559C6A0" w14:textId="77777777">
      <w:pPr>
        <w:numPr>
          <w:ilvl w:val="0"/>
          <w:numId w:val="3"/>
        </w:numPr>
      </w:pPr>
      <w:r w:rsidRPr="00931BDF">
        <w:t>we live in the U.K., our British values support this and the law says this too.</w:t>
      </w:r>
    </w:p>
    <w:p w:rsidR="00931BDF" w:rsidP="00931BDF" w:rsidRDefault="00931BDF" w14:paraId="06942F9E" w14:textId="77777777"/>
    <w:p w:rsidRPr="005B1565" w:rsidR="00931BDF" w:rsidP="00931BDF" w:rsidRDefault="00931BDF" w14:paraId="2A25F5D8" w14:textId="1BCB466D">
      <w:pPr>
        <w:rPr>
          <w:b/>
          <w:bCs/>
          <w:u w:val="single"/>
        </w:rPr>
      </w:pPr>
      <w:r w:rsidRPr="005B1565">
        <w:rPr>
          <w:b/>
          <w:bCs/>
          <w:u w:val="single"/>
        </w:rPr>
        <w:t>How Little Bowden complies with the Public Sector Equality Duty</w:t>
      </w:r>
    </w:p>
    <w:p w:rsidR="00931BDF" w:rsidP="00931BDF" w:rsidRDefault="00931BDF" w14:paraId="679AF323" w14:textId="152F441F">
      <w:r>
        <w:t>Age</w:t>
      </w:r>
    </w:p>
    <w:p w:rsidR="00937E68" w:rsidP="00937E68" w:rsidRDefault="00581E7E" w14:paraId="735FCDA7" w14:textId="5CE9A3CB">
      <w:pPr>
        <w:pStyle w:val="ListParagraph"/>
        <w:numPr>
          <w:ilvl w:val="0"/>
          <w:numId w:val="7"/>
        </w:numPr>
      </w:pPr>
      <w:r>
        <w:lastRenderedPageBreak/>
        <w:t xml:space="preserve">In EYFS </w:t>
      </w:r>
      <w:r w:rsidR="007F1466">
        <w:t>and for some children in KS1, we address speech and language concerns to ensure children are prepared for the whole curriculum.</w:t>
      </w:r>
    </w:p>
    <w:p w:rsidR="007F1466" w:rsidP="00937E68" w:rsidRDefault="007F1466" w14:paraId="7614BED0" w14:textId="1A3F138C">
      <w:pPr>
        <w:pStyle w:val="ListParagraph"/>
        <w:numPr>
          <w:ilvl w:val="0"/>
          <w:numId w:val="7"/>
        </w:numPr>
        <w:rPr/>
      </w:pPr>
      <w:r w:rsidR="007F1466">
        <w:rPr/>
        <w:t xml:space="preserve">We </w:t>
      </w:r>
      <w:r w:rsidR="00252F25">
        <w:rPr/>
        <w:t xml:space="preserve">conduct three ‘residential’ events, </w:t>
      </w:r>
      <w:commentRangeStart w:id="1921268386"/>
      <w:r w:rsidRPr="0B3837AE" w:rsidR="00252F25">
        <w:rPr>
          <w:strike w:val="1"/>
        </w:rPr>
        <w:t>starting with a one-night stay in the hall for our Year 2 pupils,</w:t>
      </w:r>
      <w:commentRangeEnd w:id="1921268386"/>
      <w:r>
        <w:rPr>
          <w:rStyle w:val="CommentReference"/>
        </w:rPr>
        <w:commentReference w:id="1921268386"/>
      </w:r>
      <w:r w:rsidR="00252F25">
        <w:rPr/>
        <w:t xml:space="preserve"> two-night stay </w:t>
      </w:r>
      <w:r w:rsidR="00D9636B">
        <w:rPr/>
        <w:t xml:space="preserve">at </w:t>
      </w:r>
      <w:r w:rsidR="00D9636B">
        <w:rPr/>
        <w:t>Bawdsey</w:t>
      </w:r>
      <w:r w:rsidR="00D9636B">
        <w:rPr/>
        <w:t xml:space="preserve"> Manor for our Year 4 pupils and a four-night stay at Liddington for our Year 6 pupils.</w:t>
      </w:r>
    </w:p>
    <w:p w:rsidR="00D9636B" w:rsidP="00937E68" w:rsidRDefault="00542D1F" w14:paraId="510A06A7" w14:textId="0465F9A9">
      <w:pPr>
        <w:pStyle w:val="ListParagraph"/>
        <w:numPr>
          <w:ilvl w:val="0"/>
          <w:numId w:val="7"/>
        </w:numPr>
      </w:pPr>
      <w:r>
        <w:t xml:space="preserve">Year 6 pupils hold additional responsibilities around school such as ‘lunch checkers’ and ‘play </w:t>
      </w:r>
      <w:proofErr w:type="gramStart"/>
      <w:r>
        <w:t>leaders’</w:t>
      </w:r>
      <w:proofErr w:type="gramEnd"/>
      <w:r>
        <w:t>.</w:t>
      </w:r>
    </w:p>
    <w:p w:rsidR="00542D1F" w:rsidP="00937E68" w:rsidRDefault="00542D1F" w14:paraId="2004747B" w14:textId="76E4EC99">
      <w:pPr>
        <w:pStyle w:val="ListParagraph"/>
        <w:numPr>
          <w:ilvl w:val="0"/>
          <w:numId w:val="7"/>
        </w:numPr>
      </w:pPr>
      <w:r>
        <w:t xml:space="preserve">We prepare our Year 6 pupils for </w:t>
      </w:r>
      <w:r w:rsidR="00F71918">
        <w:t>secondary school through transition to their new schools with visits.</w:t>
      </w:r>
    </w:p>
    <w:p w:rsidR="00931BDF" w:rsidP="00931BDF" w:rsidRDefault="00931BDF" w14:paraId="47CAD557" w14:textId="62E6D4A9">
      <w:r>
        <w:t>Disability</w:t>
      </w:r>
    </w:p>
    <w:p w:rsidR="00937E68" w:rsidP="00937E68" w:rsidRDefault="00F71918" w14:paraId="1701863F" w14:textId="2DE338A2">
      <w:pPr>
        <w:pStyle w:val="ListParagraph"/>
        <w:numPr>
          <w:ilvl w:val="0"/>
          <w:numId w:val="7"/>
        </w:numPr>
      </w:pPr>
      <w:r>
        <w:t xml:space="preserve">Books within our ‘No Outsiders’ </w:t>
      </w:r>
      <w:r w:rsidR="008137F0">
        <w:t xml:space="preserve">programme </w:t>
      </w:r>
      <w:r w:rsidR="004D3D3E">
        <w:t xml:space="preserve">such as ‘You Choose’, </w:t>
      </w:r>
      <w:r w:rsidR="006706EC">
        <w:t>‘My World, Your World’ and ‘</w:t>
      </w:r>
      <w:r w:rsidR="000F3698">
        <w:t>What the Jackdaw Saw</w:t>
      </w:r>
      <w:r w:rsidR="007A6A25">
        <w:t>.</w:t>
      </w:r>
    </w:p>
    <w:p w:rsidR="007A6A25" w:rsidP="00937E68" w:rsidRDefault="008600C1" w14:paraId="2820DA44" w14:textId="5732C08C">
      <w:pPr>
        <w:pStyle w:val="ListParagraph"/>
        <w:numPr>
          <w:ilvl w:val="0"/>
          <w:numId w:val="7"/>
        </w:numPr>
      </w:pPr>
      <w:r>
        <w:t>Our site is wheelchair accessible.</w:t>
      </w:r>
    </w:p>
    <w:p w:rsidR="008600C1" w:rsidP="00937E68" w:rsidRDefault="006440B9" w14:paraId="53FC5E58" w14:textId="5DADF558">
      <w:pPr>
        <w:pStyle w:val="ListParagraph"/>
        <w:numPr>
          <w:ilvl w:val="0"/>
          <w:numId w:val="7"/>
        </w:numPr>
      </w:pPr>
      <w:r>
        <w:t xml:space="preserve">To support the needs of children with physical disabilities, ADHD and Autism, we have held regular monitoring of classrooms to ensure that they are accessible and had regular training, including INSET days, on how to support pupils with </w:t>
      </w:r>
      <w:r w:rsidR="00731373">
        <w:t>these needs.</w:t>
      </w:r>
    </w:p>
    <w:p w:rsidR="00731373" w:rsidP="00937E68" w:rsidRDefault="00731373" w14:paraId="191F8558" w14:textId="7AA3CB78">
      <w:pPr>
        <w:pStyle w:val="ListParagraph"/>
        <w:numPr>
          <w:ilvl w:val="0"/>
          <w:numId w:val="7"/>
        </w:numPr>
      </w:pPr>
      <w:r>
        <w:t xml:space="preserve">We have a trained member of staff to lead ‘Forest School’ sessions every afternoon to ensure children with </w:t>
      </w:r>
      <w:r w:rsidR="00583C2E">
        <w:t>SEMH (social, emotional and mental health) challenges.</w:t>
      </w:r>
    </w:p>
    <w:p w:rsidR="00583C2E" w:rsidP="00937E68" w:rsidRDefault="008B1106" w14:paraId="39BAE635" w14:textId="4F0ABA36">
      <w:pPr>
        <w:pStyle w:val="ListParagraph"/>
        <w:numPr>
          <w:ilvl w:val="0"/>
          <w:numId w:val="7"/>
        </w:numPr>
      </w:pPr>
      <w:r>
        <w:t xml:space="preserve">To support pupils with hearing impairments, teachers </w:t>
      </w:r>
      <w:r w:rsidR="001D4BDC">
        <w:t xml:space="preserve">use microphones attached to lanyards for those </w:t>
      </w:r>
      <w:r w:rsidR="00F70DF1">
        <w:t>pupils with hearing aids.</w:t>
      </w:r>
    </w:p>
    <w:p w:rsidR="00931BDF" w:rsidP="00931BDF" w:rsidRDefault="00931BDF" w14:paraId="60515D3E" w14:textId="1C6DCAEF">
      <w:r>
        <w:t>Gender Reassignment</w:t>
      </w:r>
    </w:p>
    <w:p w:rsidR="00233BE1" w:rsidP="00233BE1" w:rsidRDefault="00B8516E" w14:paraId="0E780F5D" w14:textId="17389E40">
      <w:pPr>
        <w:pStyle w:val="ListParagraph"/>
        <w:numPr>
          <w:ilvl w:val="0"/>
          <w:numId w:val="7"/>
        </w:numPr>
      </w:pPr>
      <w:r>
        <w:t>A book called ‘Introducing Teddy’ is used in Year 6 to aid discussion around this topic.</w:t>
      </w:r>
    </w:p>
    <w:p w:rsidR="00937E68" w:rsidP="00937E68" w:rsidRDefault="0043590A" w14:paraId="24409BE4" w14:textId="3E050FAC">
      <w:pPr>
        <w:pStyle w:val="ListParagraph"/>
        <w:numPr>
          <w:ilvl w:val="0"/>
          <w:numId w:val="7"/>
        </w:numPr>
      </w:pPr>
      <w:r>
        <w:t>As a school, we challenge gender stereotypes within our curriculum and in assemblies.</w:t>
      </w:r>
    </w:p>
    <w:p w:rsidR="008D373C" w:rsidP="00937E68" w:rsidRDefault="008D373C" w14:paraId="44BF9C8A" w14:textId="48F976DC">
      <w:pPr>
        <w:pStyle w:val="ListParagraph"/>
        <w:numPr>
          <w:ilvl w:val="0"/>
          <w:numId w:val="7"/>
        </w:numPr>
      </w:pPr>
      <w:r>
        <w:t>We consciously acknowledge children for non-stereotypical attributes</w:t>
      </w:r>
      <w:r w:rsidR="00213833">
        <w:t>.</w:t>
      </w:r>
    </w:p>
    <w:p w:rsidR="00213833" w:rsidP="00937E68" w:rsidRDefault="00213833" w14:paraId="4B51CC2F" w14:textId="07DF7FE0">
      <w:pPr>
        <w:pStyle w:val="ListParagraph"/>
        <w:numPr>
          <w:ilvl w:val="0"/>
          <w:numId w:val="7"/>
        </w:numPr>
      </w:pPr>
      <w:r>
        <w:t>We teach children that objects are not gender specific (such as toys).</w:t>
      </w:r>
    </w:p>
    <w:p w:rsidR="00213833" w:rsidP="00937E68" w:rsidRDefault="00213833" w14:paraId="4BA20D3A" w14:textId="4157E72B">
      <w:pPr>
        <w:pStyle w:val="ListParagraph"/>
        <w:numPr>
          <w:ilvl w:val="0"/>
          <w:numId w:val="7"/>
        </w:numPr>
      </w:pPr>
      <w:r>
        <w:t xml:space="preserve">We challenge people on their use of language such as ‘girly’ or ‘man up’ </w:t>
      </w:r>
      <w:r w:rsidR="00E80D68">
        <w:t>as an indicator of weakness.</w:t>
      </w:r>
    </w:p>
    <w:p w:rsidR="00931BDF" w:rsidP="00931BDF" w:rsidRDefault="00931BDF" w14:paraId="47973345" w14:textId="4D6E4189">
      <w:r>
        <w:t>Marriage and Civil Partnership</w:t>
      </w:r>
    </w:p>
    <w:p w:rsidR="009F632C" w:rsidP="009F632C" w:rsidRDefault="009F632C" w14:paraId="7CA7A195" w14:textId="6E598410">
      <w:pPr>
        <w:pStyle w:val="ListParagraph"/>
        <w:numPr>
          <w:ilvl w:val="0"/>
          <w:numId w:val="7"/>
        </w:numPr>
      </w:pPr>
      <w:r>
        <w:t>Books within our ‘No Outsiders’ programme such as ‘This is our House’</w:t>
      </w:r>
      <w:r w:rsidR="00AC763E">
        <w:t xml:space="preserve"> and ‘Along Came a Different’ </w:t>
      </w:r>
      <w:r w:rsidR="00430A46">
        <w:t>support this area.</w:t>
      </w:r>
    </w:p>
    <w:p w:rsidR="00937E68" w:rsidP="00937E68" w:rsidRDefault="003570B3" w14:paraId="26C50146" w14:textId="508AECB4">
      <w:pPr>
        <w:pStyle w:val="ListParagraph"/>
        <w:numPr>
          <w:ilvl w:val="0"/>
          <w:numId w:val="7"/>
        </w:numPr>
      </w:pPr>
      <w:r>
        <w:t xml:space="preserve">As part of our KS1 PSHCE curriculum, </w:t>
      </w:r>
      <w:r w:rsidR="00482440">
        <w:t>pupils experience the diversity of family make up.</w:t>
      </w:r>
    </w:p>
    <w:p w:rsidR="00482440" w:rsidP="00937E68" w:rsidRDefault="00482440" w14:paraId="233A7823" w14:textId="2054A404">
      <w:pPr>
        <w:pStyle w:val="ListParagraph"/>
        <w:numPr>
          <w:ilvl w:val="0"/>
          <w:numId w:val="7"/>
        </w:numPr>
      </w:pPr>
      <w:r>
        <w:lastRenderedPageBreak/>
        <w:t xml:space="preserve">As part of our KS2 PSHCE </w:t>
      </w:r>
      <w:proofErr w:type="gramStart"/>
      <w:r>
        <w:t>curriculum,  children</w:t>
      </w:r>
      <w:proofErr w:type="gramEnd"/>
      <w:r>
        <w:t xml:space="preserve"> have the opportunity to cover relationships and marriage.</w:t>
      </w:r>
    </w:p>
    <w:p w:rsidR="00931BDF" w:rsidP="00931BDF" w:rsidRDefault="00931BDF" w14:paraId="1B3B5838" w14:textId="5BAFEBC0">
      <w:r>
        <w:t>Pregnancy and Maternity</w:t>
      </w:r>
    </w:p>
    <w:p w:rsidR="00937E68" w:rsidP="00937E68" w:rsidRDefault="00430A46" w14:paraId="1AD62A26" w14:textId="5EFAAA29">
      <w:pPr>
        <w:pStyle w:val="ListParagraph"/>
        <w:numPr>
          <w:ilvl w:val="0"/>
          <w:numId w:val="7"/>
        </w:numPr>
      </w:pPr>
      <w:r>
        <w:t>This is covered within our SRE curriculum.</w:t>
      </w:r>
    </w:p>
    <w:p w:rsidR="00430A46" w:rsidP="00937E68" w:rsidRDefault="00F214C3" w14:paraId="3B459BC5" w14:textId="55594E55">
      <w:pPr>
        <w:pStyle w:val="ListParagraph"/>
        <w:numPr>
          <w:ilvl w:val="0"/>
          <w:numId w:val="7"/>
        </w:numPr>
      </w:pPr>
      <w:r>
        <w:t>Rooms are made available to nursing mothers who have returned to work so that they can express milk in privacy.</w:t>
      </w:r>
    </w:p>
    <w:p w:rsidR="00F214C3" w:rsidP="00937E68" w:rsidRDefault="00F214C3" w14:paraId="6277CB82" w14:textId="412E1310">
      <w:pPr>
        <w:pStyle w:val="ListParagraph"/>
        <w:numPr>
          <w:ilvl w:val="0"/>
          <w:numId w:val="7"/>
        </w:numPr>
      </w:pPr>
      <w:r>
        <w:t xml:space="preserve">Adjustments are made to working patterns </w:t>
      </w:r>
      <w:r w:rsidR="00351528">
        <w:t>and duties to meet the needs of new parents.</w:t>
      </w:r>
    </w:p>
    <w:p w:rsidR="00351528" w:rsidP="00937E68" w:rsidRDefault="00351528" w14:paraId="11408637" w14:textId="6DA45E81">
      <w:pPr>
        <w:pStyle w:val="ListParagraph"/>
        <w:numPr>
          <w:ilvl w:val="0"/>
          <w:numId w:val="7"/>
        </w:numPr>
      </w:pPr>
      <w:r>
        <w:t>Consideration of flexible return to work where parents wish to reduce their hours.</w:t>
      </w:r>
    </w:p>
    <w:p w:rsidR="00931BDF" w:rsidP="00931BDF" w:rsidRDefault="00931BDF" w14:paraId="5D4EEC6D" w14:textId="4E0EA9E5">
      <w:r>
        <w:t>Race</w:t>
      </w:r>
    </w:p>
    <w:p w:rsidR="00F70DF1" w:rsidP="00F70DF1" w:rsidRDefault="00F70DF1" w14:paraId="51740C30" w14:textId="1442B8DD">
      <w:pPr>
        <w:pStyle w:val="ListParagraph"/>
        <w:numPr>
          <w:ilvl w:val="0"/>
          <w:numId w:val="7"/>
        </w:numPr>
      </w:pPr>
      <w:r>
        <w:t>Books within our ‘No Outsiders’ programme such as ‘</w:t>
      </w:r>
      <w:r w:rsidR="00BA2938">
        <w:t>The Truth about old People’</w:t>
      </w:r>
      <w:r>
        <w:t xml:space="preserve"> and ‘</w:t>
      </w:r>
      <w:r w:rsidR="00BA2938">
        <w:t>Mixed’</w:t>
      </w:r>
      <w:r>
        <w:t xml:space="preserve"> support this area.</w:t>
      </w:r>
    </w:p>
    <w:p w:rsidR="00937E68" w:rsidP="00937E68" w:rsidRDefault="00BA2938" w14:paraId="5215029E" w14:textId="52C4B55E">
      <w:pPr>
        <w:pStyle w:val="ListParagraph"/>
        <w:numPr>
          <w:ilvl w:val="0"/>
          <w:numId w:val="7"/>
        </w:numPr>
      </w:pPr>
      <w:r>
        <w:t xml:space="preserve">We have developed our </w:t>
      </w:r>
      <w:proofErr w:type="gramStart"/>
      <w:r>
        <w:t>History</w:t>
      </w:r>
      <w:proofErr w:type="gramEnd"/>
      <w:r>
        <w:t xml:space="preserve"> curriculum and are in the process of developing our Science curriculum </w:t>
      </w:r>
      <w:r w:rsidR="00807CE5">
        <w:t xml:space="preserve">to ensure we have mapped key historians, scientists and innovators </w:t>
      </w:r>
      <w:r w:rsidR="008C4CEE">
        <w:t>to ensure we have a diverse curriculum.</w:t>
      </w:r>
    </w:p>
    <w:p w:rsidR="008C4CEE" w:rsidP="00937E68" w:rsidRDefault="008C4CEE" w14:paraId="3440CED1" w14:textId="41D47A8B">
      <w:pPr>
        <w:pStyle w:val="ListParagraph"/>
        <w:numPr>
          <w:ilvl w:val="0"/>
          <w:numId w:val="7"/>
        </w:numPr>
      </w:pPr>
      <w:r>
        <w:t>We are in the process of analysing our English curriculum to ensure each year group has a breadth of diverse texts that they are studying.</w:t>
      </w:r>
    </w:p>
    <w:p w:rsidR="008C4CEE" w:rsidP="00937E68" w:rsidRDefault="009D41B5" w14:paraId="07695370" w14:textId="6D75F6B2">
      <w:pPr>
        <w:pStyle w:val="ListParagraph"/>
        <w:numPr>
          <w:ilvl w:val="0"/>
          <w:numId w:val="7"/>
        </w:numPr>
      </w:pPr>
      <w:r>
        <w:t>Assemblies cover themes of diversity, race and inclusion.</w:t>
      </w:r>
    </w:p>
    <w:p w:rsidR="009D41B5" w:rsidP="00937E68" w:rsidRDefault="009D41B5" w14:paraId="6E6FD790" w14:textId="7A3D0FD3">
      <w:pPr>
        <w:pStyle w:val="ListParagraph"/>
        <w:numPr>
          <w:ilvl w:val="0"/>
          <w:numId w:val="7"/>
        </w:numPr>
      </w:pPr>
      <w:r>
        <w:t xml:space="preserve">We support topic weeks throughout the calendar year that study </w:t>
      </w:r>
      <w:r w:rsidR="00CD4C77">
        <w:t>race and inclusion.</w:t>
      </w:r>
    </w:p>
    <w:p w:rsidR="00931BDF" w:rsidP="00931BDF" w:rsidRDefault="00931BDF" w14:paraId="2DE5FF92" w14:textId="5F28FA67">
      <w:r>
        <w:t>Religion and Belief</w:t>
      </w:r>
    </w:p>
    <w:p w:rsidR="00937E68" w:rsidP="00937E68" w:rsidRDefault="00CD4C77" w14:paraId="37235BB9" w14:textId="37956431">
      <w:pPr>
        <w:pStyle w:val="ListParagraph"/>
        <w:numPr>
          <w:ilvl w:val="0"/>
          <w:numId w:val="7"/>
        </w:numPr>
      </w:pPr>
      <w:r>
        <w:t>We have mapped the Religious Education curriculum to ensure our pupils leave Little Bowden with a good depth of knowledge.</w:t>
      </w:r>
    </w:p>
    <w:p w:rsidR="00CD4C77" w:rsidP="00937E68" w:rsidRDefault="00CD4C77" w14:paraId="7D61E4EB" w14:textId="3A8FB268">
      <w:pPr>
        <w:pStyle w:val="ListParagraph"/>
        <w:numPr>
          <w:ilvl w:val="0"/>
          <w:numId w:val="7"/>
        </w:numPr>
      </w:pPr>
      <w:r>
        <w:t xml:space="preserve">We welcome </w:t>
      </w:r>
      <w:r w:rsidR="007B12CE">
        <w:t>visitors of different religions to speak with our children.</w:t>
      </w:r>
    </w:p>
    <w:p w:rsidR="007B12CE" w:rsidP="00937E68" w:rsidRDefault="007B12CE" w14:paraId="086FA5A2" w14:textId="09381CDE">
      <w:pPr>
        <w:pStyle w:val="ListParagraph"/>
        <w:numPr>
          <w:ilvl w:val="0"/>
          <w:numId w:val="7"/>
        </w:numPr>
      </w:pPr>
      <w:r>
        <w:t xml:space="preserve">Year 3 visit to a </w:t>
      </w:r>
      <w:r w:rsidR="00A13B05">
        <w:t xml:space="preserve">mosque as part of their studies </w:t>
      </w:r>
      <w:proofErr w:type="gramStart"/>
      <w:r w:rsidR="00A13B05">
        <w:t>in to</w:t>
      </w:r>
      <w:proofErr w:type="gramEnd"/>
      <w:r w:rsidR="00A13B05">
        <w:t xml:space="preserve"> Islam.</w:t>
      </w:r>
    </w:p>
    <w:p w:rsidR="00931BDF" w:rsidP="00931BDF" w:rsidRDefault="00931BDF" w14:paraId="26BD6FF5" w14:textId="5E33B89E">
      <w:r>
        <w:t>Sex</w:t>
      </w:r>
    </w:p>
    <w:p w:rsidR="00937E68" w:rsidP="00937E68" w:rsidRDefault="00A13B05" w14:paraId="54F18735" w14:textId="2224DC09">
      <w:pPr>
        <w:pStyle w:val="ListParagraph"/>
        <w:numPr>
          <w:ilvl w:val="0"/>
          <w:numId w:val="7"/>
        </w:numPr>
      </w:pPr>
      <w:r>
        <w:t xml:space="preserve">As part of </w:t>
      </w:r>
      <w:r w:rsidR="00D20741">
        <w:t xml:space="preserve">School Development Plan, </w:t>
      </w:r>
      <w:r w:rsidR="003E5433">
        <w:t xml:space="preserve">we </w:t>
      </w:r>
      <w:r w:rsidR="007F0B4A">
        <w:t xml:space="preserve">have a strategy to address outcomes for boys in </w:t>
      </w:r>
      <w:r w:rsidR="009A7CE5">
        <w:t>reading</w:t>
      </w:r>
      <w:r w:rsidR="00225F2E">
        <w:t xml:space="preserve"> and writing (especially in KS1).</w:t>
      </w:r>
    </w:p>
    <w:p w:rsidR="00225F2E" w:rsidP="00225F2E" w:rsidRDefault="00225F2E" w14:paraId="31F7C010" w14:textId="5C5AEAE4">
      <w:pPr>
        <w:pStyle w:val="ListParagraph"/>
        <w:numPr>
          <w:ilvl w:val="0"/>
          <w:numId w:val="7"/>
        </w:numPr>
      </w:pPr>
      <w:r>
        <w:t xml:space="preserve">As part of School Development Plan, we have a strategy to address outcomes for boys in </w:t>
      </w:r>
      <w:r w:rsidR="00484F78">
        <w:t>maths in KS1</w:t>
      </w:r>
    </w:p>
    <w:p w:rsidR="00225F2E" w:rsidP="00225F2E" w:rsidRDefault="00225F2E" w14:paraId="16F37F7B" w14:textId="0B005E30">
      <w:pPr>
        <w:pStyle w:val="ListParagraph"/>
        <w:numPr>
          <w:ilvl w:val="0"/>
          <w:numId w:val="7"/>
        </w:numPr>
      </w:pPr>
      <w:r>
        <w:t xml:space="preserve">As part of School Development Plan, we have a strategy to address outcomes for </w:t>
      </w:r>
      <w:r w:rsidR="00484F78">
        <w:t>girls</w:t>
      </w:r>
      <w:r>
        <w:t xml:space="preserve"> in </w:t>
      </w:r>
      <w:r w:rsidR="00484F78">
        <w:t>maths</w:t>
      </w:r>
      <w:r>
        <w:t xml:space="preserve"> </w:t>
      </w:r>
      <w:r w:rsidR="00484F78">
        <w:t>in KS2.</w:t>
      </w:r>
    </w:p>
    <w:p w:rsidR="00225F2E" w:rsidP="00484F78" w:rsidRDefault="00484F78" w14:paraId="5321B941" w14:textId="3066D418">
      <w:pPr>
        <w:pStyle w:val="ListParagraph"/>
        <w:numPr>
          <w:ilvl w:val="0"/>
          <w:numId w:val="7"/>
        </w:numPr>
      </w:pPr>
      <w:r>
        <w:t xml:space="preserve">We have developed our </w:t>
      </w:r>
      <w:proofErr w:type="gramStart"/>
      <w:r>
        <w:t>History</w:t>
      </w:r>
      <w:proofErr w:type="gramEnd"/>
      <w:r>
        <w:t xml:space="preserve"> curriculum and are in the process of developing our Science curriculum to ensure we have mapped key historians, scientists and innovators to ensure we have a diverse curriculum.</w:t>
      </w:r>
    </w:p>
    <w:p w:rsidR="00931BDF" w:rsidP="00931BDF" w:rsidRDefault="00931BDF" w14:paraId="54E34A46" w14:textId="4723865A">
      <w:r>
        <w:t>Sexual Orientation</w:t>
      </w:r>
    </w:p>
    <w:p w:rsidR="005E405C" w:rsidP="005E405C" w:rsidRDefault="005E405C" w14:paraId="628C4B25" w14:textId="0D3EE628">
      <w:pPr>
        <w:pStyle w:val="ListParagraph"/>
        <w:numPr>
          <w:ilvl w:val="0"/>
          <w:numId w:val="7"/>
        </w:numPr>
      </w:pPr>
      <w:r>
        <w:lastRenderedPageBreak/>
        <w:t>Books within our ‘No Outsiders’ programme such as ‘</w:t>
      </w:r>
      <w:r>
        <w:t>Introducing Teddy’ and ‘Leaf’ are introduced in Year 6.</w:t>
      </w:r>
    </w:p>
    <w:p w:rsidR="00937E68" w:rsidP="00937E68" w:rsidRDefault="005E405C" w14:paraId="025C5DAD" w14:textId="27C4B778">
      <w:pPr>
        <w:pStyle w:val="ListParagraph"/>
        <w:numPr>
          <w:ilvl w:val="0"/>
          <w:numId w:val="7"/>
        </w:numPr>
      </w:pPr>
      <w:r>
        <w:t>As a result of a few incidences of inappropriate language targeted at the LGBTQ+ community, we have adapted our PSHCE curriculum to tackle ‘live’ issues. This is also the case with our assemblies.</w:t>
      </w:r>
    </w:p>
    <w:p w:rsidRPr="005B1565" w:rsidR="00931BDF" w:rsidP="00931BDF" w:rsidRDefault="005E405C" w14:paraId="7A54B918" w14:textId="39B4DB53">
      <w:pPr>
        <w:spacing w:after="57"/>
        <w:rPr>
          <w:b/>
          <w:bCs/>
          <w:u w:val="single"/>
        </w:rPr>
      </w:pPr>
      <w:r w:rsidRPr="005B1565">
        <w:rPr>
          <w:b/>
          <w:bCs/>
          <w:u w:val="single"/>
        </w:rPr>
        <w:t>Statistical Data</w:t>
      </w:r>
    </w:p>
    <w:tbl>
      <w:tblPr>
        <w:tblStyle w:val="TableGrid0"/>
        <w:tblW w:w="10490" w:type="dxa"/>
        <w:tblInd w:w="-856" w:type="dxa"/>
        <w:tblLayout w:type="fixed"/>
        <w:tblLook w:val="04A0" w:firstRow="1" w:lastRow="0" w:firstColumn="1" w:lastColumn="0" w:noHBand="0" w:noVBand="1"/>
      </w:tblPr>
      <w:tblGrid>
        <w:gridCol w:w="1719"/>
        <w:gridCol w:w="975"/>
        <w:gridCol w:w="992"/>
        <w:gridCol w:w="993"/>
        <w:gridCol w:w="1134"/>
        <w:gridCol w:w="1417"/>
        <w:gridCol w:w="851"/>
        <w:gridCol w:w="1134"/>
        <w:gridCol w:w="1275"/>
      </w:tblGrid>
      <w:tr w:rsidRPr="007455E8" w:rsidR="007065A0" w:rsidTr="007455E8" w14:paraId="5D1D73AF" w14:textId="6AF28B82">
        <w:tc>
          <w:tcPr>
            <w:tcW w:w="1719" w:type="dxa"/>
          </w:tcPr>
          <w:p w:rsidRPr="007455E8" w:rsidR="007065A0" w:rsidP="00931BDF" w:rsidRDefault="007065A0" w14:paraId="5611326E" w14:textId="51E5BA76">
            <w:pPr>
              <w:spacing w:after="57"/>
              <w:rPr>
                <w:sz w:val="22"/>
                <w:szCs w:val="22"/>
              </w:rPr>
            </w:pPr>
            <w:r w:rsidRPr="007455E8">
              <w:rPr>
                <w:sz w:val="22"/>
                <w:szCs w:val="22"/>
              </w:rPr>
              <w:t>Year Group</w:t>
            </w:r>
          </w:p>
        </w:tc>
        <w:tc>
          <w:tcPr>
            <w:tcW w:w="975" w:type="dxa"/>
          </w:tcPr>
          <w:p w:rsidRPr="007455E8" w:rsidR="007065A0" w:rsidP="00931BDF" w:rsidRDefault="007065A0" w14:paraId="6CC87695" w14:textId="2B28FABC">
            <w:pPr>
              <w:spacing w:after="57"/>
              <w:rPr>
                <w:sz w:val="22"/>
                <w:szCs w:val="22"/>
              </w:rPr>
            </w:pPr>
            <w:r w:rsidRPr="007455E8">
              <w:rPr>
                <w:sz w:val="22"/>
                <w:szCs w:val="22"/>
              </w:rPr>
              <w:t>Girls%</w:t>
            </w:r>
          </w:p>
        </w:tc>
        <w:tc>
          <w:tcPr>
            <w:tcW w:w="992" w:type="dxa"/>
          </w:tcPr>
          <w:p w:rsidRPr="007455E8" w:rsidR="007065A0" w:rsidP="00931BDF" w:rsidRDefault="007065A0" w14:paraId="617A1D0D" w14:textId="2408A72C">
            <w:pPr>
              <w:spacing w:after="57"/>
              <w:rPr>
                <w:sz w:val="22"/>
                <w:szCs w:val="22"/>
              </w:rPr>
            </w:pPr>
            <w:r w:rsidRPr="007455E8">
              <w:rPr>
                <w:sz w:val="22"/>
                <w:szCs w:val="22"/>
              </w:rPr>
              <w:t>Boys%</w:t>
            </w:r>
          </w:p>
        </w:tc>
        <w:tc>
          <w:tcPr>
            <w:tcW w:w="993" w:type="dxa"/>
          </w:tcPr>
          <w:p w:rsidRPr="007455E8" w:rsidR="007065A0" w:rsidP="00931BDF" w:rsidRDefault="007065A0" w14:paraId="24B95D5B" w14:textId="2B82FC30">
            <w:pPr>
              <w:spacing w:after="57"/>
              <w:rPr>
                <w:sz w:val="22"/>
                <w:szCs w:val="22"/>
              </w:rPr>
            </w:pPr>
            <w:r w:rsidRPr="007455E8">
              <w:rPr>
                <w:sz w:val="22"/>
                <w:szCs w:val="22"/>
              </w:rPr>
              <w:t>SEND%</w:t>
            </w:r>
          </w:p>
        </w:tc>
        <w:tc>
          <w:tcPr>
            <w:tcW w:w="1134" w:type="dxa"/>
          </w:tcPr>
          <w:p w:rsidRPr="007455E8" w:rsidR="007065A0" w:rsidP="00931BDF" w:rsidRDefault="007065A0" w14:paraId="763F3988" w14:textId="0247A884">
            <w:pPr>
              <w:spacing w:after="57"/>
              <w:rPr>
                <w:sz w:val="22"/>
                <w:szCs w:val="22"/>
              </w:rPr>
            </w:pPr>
            <w:r w:rsidRPr="007455E8">
              <w:rPr>
                <w:sz w:val="22"/>
                <w:szCs w:val="22"/>
              </w:rPr>
              <w:t>EHCP%</w:t>
            </w:r>
          </w:p>
        </w:tc>
        <w:tc>
          <w:tcPr>
            <w:tcW w:w="1417" w:type="dxa"/>
          </w:tcPr>
          <w:p w:rsidRPr="007455E8" w:rsidR="007065A0" w:rsidP="00931BDF" w:rsidRDefault="007065A0" w14:paraId="728F0F90" w14:textId="0C36FA7F">
            <w:pPr>
              <w:spacing w:after="57"/>
              <w:rPr>
                <w:sz w:val="22"/>
                <w:szCs w:val="22"/>
              </w:rPr>
            </w:pPr>
            <w:r w:rsidRPr="007455E8">
              <w:rPr>
                <w:sz w:val="22"/>
                <w:szCs w:val="22"/>
              </w:rPr>
              <w:t>Pupil Premium%</w:t>
            </w:r>
          </w:p>
        </w:tc>
        <w:tc>
          <w:tcPr>
            <w:tcW w:w="851" w:type="dxa"/>
          </w:tcPr>
          <w:p w:rsidRPr="007455E8" w:rsidR="007065A0" w:rsidP="00931BDF" w:rsidRDefault="007065A0" w14:paraId="4B0DBC2D" w14:textId="205CFA35">
            <w:pPr>
              <w:spacing w:after="57"/>
              <w:rPr>
                <w:sz w:val="22"/>
                <w:szCs w:val="22"/>
              </w:rPr>
            </w:pPr>
            <w:r w:rsidRPr="007455E8">
              <w:rPr>
                <w:sz w:val="22"/>
                <w:szCs w:val="22"/>
              </w:rPr>
              <w:t>EAL</w:t>
            </w:r>
          </w:p>
        </w:tc>
        <w:tc>
          <w:tcPr>
            <w:tcW w:w="1134" w:type="dxa"/>
          </w:tcPr>
          <w:p w:rsidRPr="007455E8" w:rsidR="007065A0" w:rsidP="00931BDF" w:rsidRDefault="007065A0" w14:paraId="586A7795" w14:textId="42BC40C6">
            <w:pPr>
              <w:spacing w:after="57"/>
              <w:rPr>
                <w:sz w:val="22"/>
                <w:szCs w:val="22"/>
              </w:rPr>
            </w:pPr>
            <w:r w:rsidRPr="007455E8">
              <w:rPr>
                <w:sz w:val="22"/>
                <w:szCs w:val="22"/>
              </w:rPr>
              <w:t>White British%</w:t>
            </w:r>
          </w:p>
        </w:tc>
        <w:tc>
          <w:tcPr>
            <w:tcW w:w="1275" w:type="dxa"/>
          </w:tcPr>
          <w:p w:rsidRPr="007455E8" w:rsidR="007065A0" w:rsidP="00931BDF" w:rsidRDefault="007065A0" w14:paraId="75DEDA0F" w14:textId="096EE8D4">
            <w:pPr>
              <w:spacing w:after="57"/>
              <w:rPr>
                <w:sz w:val="22"/>
                <w:szCs w:val="22"/>
              </w:rPr>
            </w:pPr>
            <w:r w:rsidRPr="007455E8">
              <w:rPr>
                <w:sz w:val="22"/>
                <w:szCs w:val="22"/>
              </w:rPr>
              <w:t>Non-White British%</w:t>
            </w:r>
          </w:p>
        </w:tc>
      </w:tr>
      <w:tr w:rsidRPr="007455E8" w:rsidR="007065A0" w:rsidTr="007455E8" w14:paraId="25CA15F3" w14:textId="455A01EA">
        <w:tc>
          <w:tcPr>
            <w:tcW w:w="1719" w:type="dxa"/>
          </w:tcPr>
          <w:p w:rsidRPr="007455E8" w:rsidR="007065A0" w:rsidP="00931BDF" w:rsidRDefault="007065A0" w14:paraId="4DEBD983" w14:textId="3FB5B2C8">
            <w:pPr>
              <w:spacing w:after="57"/>
              <w:rPr>
                <w:sz w:val="22"/>
                <w:szCs w:val="22"/>
              </w:rPr>
            </w:pPr>
            <w:r w:rsidRPr="007455E8">
              <w:rPr>
                <w:sz w:val="22"/>
                <w:szCs w:val="22"/>
              </w:rPr>
              <w:t>Rec.</w:t>
            </w:r>
          </w:p>
        </w:tc>
        <w:tc>
          <w:tcPr>
            <w:tcW w:w="975" w:type="dxa"/>
          </w:tcPr>
          <w:p w:rsidRPr="007455E8" w:rsidR="007065A0" w:rsidP="00931BDF" w:rsidRDefault="007455E8" w14:paraId="6C0467BB" w14:textId="11481D05">
            <w:pPr>
              <w:spacing w:after="57"/>
              <w:rPr>
                <w:sz w:val="22"/>
                <w:szCs w:val="22"/>
              </w:rPr>
            </w:pPr>
            <w:r>
              <w:rPr>
                <w:sz w:val="22"/>
                <w:szCs w:val="22"/>
              </w:rPr>
              <w:t>44.7%</w:t>
            </w:r>
          </w:p>
        </w:tc>
        <w:tc>
          <w:tcPr>
            <w:tcW w:w="992" w:type="dxa"/>
          </w:tcPr>
          <w:p w:rsidRPr="007455E8" w:rsidR="007065A0" w:rsidP="00931BDF" w:rsidRDefault="007455E8" w14:paraId="000C556B" w14:textId="7B7A6C67">
            <w:pPr>
              <w:spacing w:after="57"/>
              <w:rPr>
                <w:sz w:val="22"/>
                <w:szCs w:val="22"/>
              </w:rPr>
            </w:pPr>
            <w:r>
              <w:rPr>
                <w:sz w:val="22"/>
                <w:szCs w:val="22"/>
              </w:rPr>
              <w:t>55.3%</w:t>
            </w:r>
          </w:p>
        </w:tc>
        <w:tc>
          <w:tcPr>
            <w:tcW w:w="993" w:type="dxa"/>
          </w:tcPr>
          <w:p w:rsidRPr="007455E8" w:rsidR="007065A0" w:rsidP="00931BDF" w:rsidRDefault="007065A0" w14:paraId="74358D4F" w14:textId="1A0974BA">
            <w:pPr>
              <w:spacing w:after="57"/>
              <w:rPr>
                <w:sz w:val="22"/>
                <w:szCs w:val="22"/>
              </w:rPr>
            </w:pPr>
            <w:r w:rsidRPr="007455E8">
              <w:rPr>
                <w:sz w:val="22"/>
                <w:szCs w:val="22"/>
              </w:rPr>
              <w:t>2.1%</w:t>
            </w:r>
          </w:p>
        </w:tc>
        <w:tc>
          <w:tcPr>
            <w:tcW w:w="1134" w:type="dxa"/>
          </w:tcPr>
          <w:p w:rsidRPr="007455E8" w:rsidR="007065A0" w:rsidP="00931BDF" w:rsidRDefault="007065A0" w14:paraId="457B0CAE" w14:textId="77045526">
            <w:pPr>
              <w:spacing w:after="57"/>
              <w:rPr>
                <w:sz w:val="22"/>
                <w:szCs w:val="22"/>
              </w:rPr>
            </w:pPr>
            <w:r w:rsidRPr="007455E8">
              <w:rPr>
                <w:sz w:val="22"/>
                <w:szCs w:val="22"/>
              </w:rPr>
              <w:t>0</w:t>
            </w:r>
          </w:p>
        </w:tc>
        <w:tc>
          <w:tcPr>
            <w:tcW w:w="1417" w:type="dxa"/>
          </w:tcPr>
          <w:p w:rsidRPr="007455E8" w:rsidR="007065A0" w:rsidP="00931BDF" w:rsidRDefault="007455E8" w14:paraId="1CA255F1" w14:textId="48EA5289">
            <w:pPr>
              <w:spacing w:after="57"/>
              <w:rPr>
                <w:sz w:val="22"/>
                <w:szCs w:val="22"/>
              </w:rPr>
            </w:pPr>
            <w:r w:rsidRPr="007455E8">
              <w:rPr>
                <w:sz w:val="22"/>
                <w:szCs w:val="22"/>
              </w:rPr>
              <w:t>2.1%</w:t>
            </w:r>
          </w:p>
        </w:tc>
        <w:tc>
          <w:tcPr>
            <w:tcW w:w="851" w:type="dxa"/>
          </w:tcPr>
          <w:p w:rsidRPr="007455E8" w:rsidR="007065A0" w:rsidP="00931BDF" w:rsidRDefault="007455E8" w14:paraId="33D9584D" w14:textId="140EF26E">
            <w:pPr>
              <w:spacing w:after="57"/>
              <w:rPr>
                <w:sz w:val="22"/>
                <w:szCs w:val="22"/>
              </w:rPr>
            </w:pPr>
            <w:r w:rsidRPr="007455E8">
              <w:rPr>
                <w:sz w:val="22"/>
                <w:szCs w:val="22"/>
              </w:rPr>
              <w:t>14.9%</w:t>
            </w:r>
          </w:p>
        </w:tc>
        <w:tc>
          <w:tcPr>
            <w:tcW w:w="1134" w:type="dxa"/>
          </w:tcPr>
          <w:p w:rsidRPr="007455E8" w:rsidR="007065A0" w:rsidP="00931BDF" w:rsidRDefault="0015228B" w14:paraId="7A30A646" w14:textId="14B0DE45">
            <w:pPr>
              <w:spacing w:after="57"/>
              <w:rPr>
                <w:sz w:val="22"/>
                <w:szCs w:val="22"/>
              </w:rPr>
            </w:pPr>
            <w:r>
              <w:rPr>
                <w:sz w:val="22"/>
                <w:szCs w:val="22"/>
              </w:rPr>
              <w:t>59.6%</w:t>
            </w:r>
          </w:p>
        </w:tc>
        <w:tc>
          <w:tcPr>
            <w:tcW w:w="1275" w:type="dxa"/>
          </w:tcPr>
          <w:p w:rsidRPr="007455E8" w:rsidR="007065A0" w:rsidP="00931BDF" w:rsidRDefault="00F15749" w14:paraId="29085AA8" w14:textId="1390C9C1">
            <w:pPr>
              <w:spacing w:after="57"/>
              <w:rPr>
                <w:sz w:val="22"/>
                <w:szCs w:val="22"/>
              </w:rPr>
            </w:pPr>
            <w:r>
              <w:rPr>
                <w:sz w:val="22"/>
                <w:szCs w:val="22"/>
              </w:rPr>
              <w:t>40.4%</w:t>
            </w:r>
          </w:p>
        </w:tc>
      </w:tr>
      <w:tr w:rsidRPr="007455E8" w:rsidR="007065A0" w:rsidTr="007455E8" w14:paraId="1D3E99BC" w14:textId="3B25CDBC">
        <w:tc>
          <w:tcPr>
            <w:tcW w:w="1719" w:type="dxa"/>
          </w:tcPr>
          <w:p w:rsidRPr="007455E8" w:rsidR="007065A0" w:rsidP="00931BDF" w:rsidRDefault="007065A0" w14:paraId="54B8D515" w14:textId="38987FDE">
            <w:pPr>
              <w:spacing w:after="57"/>
              <w:rPr>
                <w:sz w:val="22"/>
                <w:szCs w:val="22"/>
              </w:rPr>
            </w:pPr>
            <w:r w:rsidRPr="007455E8">
              <w:rPr>
                <w:sz w:val="22"/>
                <w:szCs w:val="22"/>
              </w:rPr>
              <w:t>1</w:t>
            </w:r>
          </w:p>
        </w:tc>
        <w:tc>
          <w:tcPr>
            <w:tcW w:w="975" w:type="dxa"/>
          </w:tcPr>
          <w:p w:rsidRPr="007455E8" w:rsidR="007065A0" w:rsidP="00931BDF" w:rsidRDefault="007065A0" w14:paraId="51D35D3F" w14:textId="4D6E30A9">
            <w:pPr>
              <w:spacing w:after="57"/>
              <w:rPr>
                <w:sz w:val="22"/>
                <w:szCs w:val="22"/>
              </w:rPr>
            </w:pPr>
            <w:r w:rsidRPr="007455E8">
              <w:rPr>
                <w:sz w:val="22"/>
                <w:szCs w:val="22"/>
              </w:rPr>
              <w:t>45.2%</w:t>
            </w:r>
          </w:p>
        </w:tc>
        <w:tc>
          <w:tcPr>
            <w:tcW w:w="992" w:type="dxa"/>
          </w:tcPr>
          <w:p w:rsidRPr="007455E8" w:rsidR="007065A0" w:rsidP="00931BDF" w:rsidRDefault="007065A0" w14:paraId="34AD12D4" w14:textId="22CFCC73">
            <w:pPr>
              <w:spacing w:after="57"/>
              <w:rPr>
                <w:sz w:val="22"/>
                <w:szCs w:val="22"/>
              </w:rPr>
            </w:pPr>
            <w:r w:rsidRPr="007455E8">
              <w:rPr>
                <w:sz w:val="22"/>
                <w:szCs w:val="22"/>
              </w:rPr>
              <w:t>54.8%</w:t>
            </w:r>
          </w:p>
        </w:tc>
        <w:tc>
          <w:tcPr>
            <w:tcW w:w="993" w:type="dxa"/>
          </w:tcPr>
          <w:p w:rsidRPr="007455E8" w:rsidR="007065A0" w:rsidP="00931BDF" w:rsidRDefault="007065A0" w14:paraId="6EB819CB" w14:textId="33D9A5FE">
            <w:pPr>
              <w:spacing w:after="57"/>
              <w:rPr>
                <w:sz w:val="22"/>
                <w:szCs w:val="22"/>
              </w:rPr>
            </w:pPr>
            <w:r w:rsidRPr="007455E8">
              <w:rPr>
                <w:sz w:val="22"/>
                <w:szCs w:val="22"/>
              </w:rPr>
              <w:t>16.7%</w:t>
            </w:r>
          </w:p>
        </w:tc>
        <w:tc>
          <w:tcPr>
            <w:tcW w:w="1134" w:type="dxa"/>
          </w:tcPr>
          <w:p w:rsidRPr="007455E8" w:rsidR="007065A0" w:rsidP="00931BDF" w:rsidRDefault="007065A0" w14:paraId="27C2653A" w14:textId="74BBF134">
            <w:pPr>
              <w:spacing w:after="57"/>
              <w:rPr>
                <w:sz w:val="22"/>
                <w:szCs w:val="22"/>
              </w:rPr>
            </w:pPr>
            <w:r w:rsidRPr="007455E8">
              <w:rPr>
                <w:sz w:val="22"/>
                <w:szCs w:val="22"/>
              </w:rPr>
              <w:t>5% (2)</w:t>
            </w:r>
          </w:p>
        </w:tc>
        <w:tc>
          <w:tcPr>
            <w:tcW w:w="1417" w:type="dxa"/>
          </w:tcPr>
          <w:p w:rsidRPr="007455E8" w:rsidR="007065A0" w:rsidP="00931BDF" w:rsidRDefault="007065A0" w14:paraId="67B22BDF" w14:textId="442F294A">
            <w:pPr>
              <w:spacing w:after="57"/>
              <w:rPr>
                <w:sz w:val="22"/>
                <w:szCs w:val="22"/>
              </w:rPr>
            </w:pPr>
            <w:r w:rsidRPr="007455E8">
              <w:rPr>
                <w:sz w:val="22"/>
                <w:szCs w:val="22"/>
              </w:rPr>
              <w:t>14.3%</w:t>
            </w:r>
          </w:p>
        </w:tc>
        <w:tc>
          <w:tcPr>
            <w:tcW w:w="851" w:type="dxa"/>
          </w:tcPr>
          <w:p w:rsidRPr="007455E8" w:rsidR="007065A0" w:rsidP="00931BDF" w:rsidRDefault="00AC59AC" w14:paraId="2E9C7733" w14:textId="52500EC7">
            <w:pPr>
              <w:spacing w:after="57"/>
              <w:rPr>
                <w:sz w:val="22"/>
                <w:szCs w:val="22"/>
              </w:rPr>
            </w:pPr>
            <w:r>
              <w:rPr>
                <w:sz w:val="22"/>
                <w:szCs w:val="22"/>
              </w:rPr>
              <w:t>7.1%</w:t>
            </w:r>
          </w:p>
        </w:tc>
        <w:tc>
          <w:tcPr>
            <w:tcW w:w="1134" w:type="dxa"/>
          </w:tcPr>
          <w:p w:rsidRPr="007455E8" w:rsidR="007065A0" w:rsidP="00931BDF" w:rsidRDefault="00971782" w14:paraId="67FB1736" w14:textId="7E01C723">
            <w:pPr>
              <w:spacing w:after="57"/>
              <w:rPr>
                <w:sz w:val="22"/>
                <w:szCs w:val="22"/>
              </w:rPr>
            </w:pPr>
            <w:r>
              <w:rPr>
                <w:sz w:val="22"/>
                <w:szCs w:val="22"/>
              </w:rPr>
              <w:t>73.8%</w:t>
            </w:r>
          </w:p>
        </w:tc>
        <w:tc>
          <w:tcPr>
            <w:tcW w:w="1275" w:type="dxa"/>
          </w:tcPr>
          <w:p w:rsidRPr="007455E8" w:rsidR="007065A0" w:rsidP="00931BDF" w:rsidRDefault="00F15749" w14:paraId="34526F7A" w14:textId="2903A4CF">
            <w:pPr>
              <w:spacing w:after="57"/>
              <w:rPr>
                <w:sz w:val="22"/>
                <w:szCs w:val="22"/>
              </w:rPr>
            </w:pPr>
            <w:r>
              <w:rPr>
                <w:sz w:val="22"/>
                <w:szCs w:val="22"/>
              </w:rPr>
              <w:t>26.2%</w:t>
            </w:r>
          </w:p>
        </w:tc>
      </w:tr>
      <w:tr w:rsidRPr="007455E8" w:rsidR="007065A0" w:rsidTr="007455E8" w14:paraId="30359B0A" w14:textId="0BA894E9">
        <w:tc>
          <w:tcPr>
            <w:tcW w:w="1719" w:type="dxa"/>
          </w:tcPr>
          <w:p w:rsidRPr="007455E8" w:rsidR="007065A0" w:rsidP="00931BDF" w:rsidRDefault="007065A0" w14:paraId="059C90F3" w14:textId="4D6E3FFD">
            <w:pPr>
              <w:spacing w:after="57"/>
              <w:rPr>
                <w:sz w:val="22"/>
                <w:szCs w:val="22"/>
              </w:rPr>
            </w:pPr>
            <w:r w:rsidRPr="007455E8">
              <w:rPr>
                <w:sz w:val="22"/>
                <w:szCs w:val="22"/>
              </w:rPr>
              <w:t>2</w:t>
            </w:r>
          </w:p>
        </w:tc>
        <w:tc>
          <w:tcPr>
            <w:tcW w:w="975" w:type="dxa"/>
          </w:tcPr>
          <w:p w:rsidRPr="007455E8" w:rsidR="007065A0" w:rsidP="00931BDF" w:rsidRDefault="007065A0" w14:paraId="627170F9" w14:textId="7C583C1A">
            <w:pPr>
              <w:spacing w:after="57"/>
              <w:rPr>
                <w:sz w:val="22"/>
                <w:szCs w:val="22"/>
              </w:rPr>
            </w:pPr>
            <w:r w:rsidRPr="007455E8">
              <w:rPr>
                <w:sz w:val="22"/>
                <w:szCs w:val="22"/>
              </w:rPr>
              <w:t>42.4%</w:t>
            </w:r>
          </w:p>
        </w:tc>
        <w:tc>
          <w:tcPr>
            <w:tcW w:w="992" w:type="dxa"/>
          </w:tcPr>
          <w:p w:rsidRPr="007455E8" w:rsidR="007065A0" w:rsidP="00931BDF" w:rsidRDefault="007065A0" w14:paraId="3507F13A" w14:textId="02463759">
            <w:pPr>
              <w:spacing w:after="57"/>
              <w:rPr>
                <w:sz w:val="22"/>
                <w:szCs w:val="22"/>
              </w:rPr>
            </w:pPr>
            <w:r w:rsidRPr="007455E8">
              <w:rPr>
                <w:sz w:val="22"/>
                <w:szCs w:val="22"/>
              </w:rPr>
              <w:t>57.6%</w:t>
            </w:r>
          </w:p>
        </w:tc>
        <w:tc>
          <w:tcPr>
            <w:tcW w:w="993" w:type="dxa"/>
          </w:tcPr>
          <w:p w:rsidRPr="007455E8" w:rsidR="007065A0" w:rsidP="00931BDF" w:rsidRDefault="007065A0" w14:paraId="0CBDFFB6" w14:textId="40AAF3D8">
            <w:pPr>
              <w:spacing w:after="57"/>
              <w:rPr>
                <w:sz w:val="22"/>
                <w:szCs w:val="22"/>
              </w:rPr>
            </w:pPr>
            <w:r w:rsidRPr="007455E8">
              <w:rPr>
                <w:sz w:val="22"/>
                <w:szCs w:val="22"/>
              </w:rPr>
              <w:t>13.6%</w:t>
            </w:r>
          </w:p>
        </w:tc>
        <w:tc>
          <w:tcPr>
            <w:tcW w:w="1134" w:type="dxa"/>
          </w:tcPr>
          <w:p w:rsidRPr="007455E8" w:rsidR="007065A0" w:rsidP="00931BDF" w:rsidRDefault="007065A0" w14:paraId="7007A116" w14:textId="281CEF34">
            <w:pPr>
              <w:spacing w:after="57"/>
              <w:rPr>
                <w:sz w:val="22"/>
                <w:szCs w:val="22"/>
              </w:rPr>
            </w:pPr>
            <w:r w:rsidRPr="007455E8">
              <w:rPr>
                <w:sz w:val="22"/>
                <w:szCs w:val="22"/>
              </w:rPr>
              <w:t>2% (1)</w:t>
            </w:r>
          </w:p>
        </w:tc>
        <w:tc>
          <w:tcPr>
            <w:tcW w:w="1417" w:type="dxa"/>
          </w:tcPr>
          <w:p w:rsidRPr="007455E8" w:rsidR="007065A0" w:rsidP="00931BDF" w:rsidRDefault="007065A0" w14:paraId="6FBBBD21" w14:textId="66461330">
            <w:pPr>
              <w:spacing w:after="57"/>
              <w:rPr>
                <w:sz w:val="22"/>
                <w:szCs w:val="22"/>
              </w:rPr>
            </w:pPr>
            <w:r w:rsidRPr="007455E8">
              <w:rPr>
                <w:sz w:val="22"/>
                <w:szCs w:val="22"/>
              </w:rPr>
              <w:t>10.2%</w:t>
            </w:r>
          </w:p>
        </w:tc>
        <w:tc>
          <w:tcPr>
            <w:tcW w:w="851" w:type="dxa"/>
          </w:tcPr>
          <w:p w:rsidRPr="007455E8" w:rsidR="007065A0" w:rsidP="00931BDF" w:rsidRDefault="00AC59AC" w14:paraId="2183788A" w14:textId="53E9B532">
            <w:pPr>
              <w:spacing w:after="57"/>
              <w:rPr>
                <w:sz w:val="22"/>
                <w:szCs w:val="22"/>
              </w:rPr>
            </w:pPr>
            <w:r>
              <w:rPr>
                <w:sz w:val="22"/>
                <w:szCs w:val="22"/>
              </w:rPr>
              <w:t>3.4%</w:t>
            </w:r>
          </w:p>
        </w:tc>
        <w:tc>
          <w:tcPr>
            <w:tcW w:w="1134" w:type="dxa"/>
          </w:tcPr>
          <w:p w:rsidRPr="007455E8" w:rsidR="007065A0" w:rsidP="00931BDF" w:rsidRDefault="00971782" w14:paraId="6FDA968C" w14:textId="183BF10F">
            <w:pPr>
              <w:spacing w:after="57"/>
              <w:rPr>
                <w:sz w:val="22"/>
                <w:szCs w:val="22"/>
              </w:rPr>
            </w:pPr>
            <w:r>
              <w:rPr>
                <w:sz w:val="22"/>
                <w:szCs w:val="22"/>
              </w:rPr>
              <w:t>88.1%</w:t>
            </w:r>
          </w:p>
        </w:tc>
        <w:tc>
          <w:tcPr>
            <w:tcW w:w="1275" w:type="dxa"/>
          </w:tcPr>
          <w:p w:rsidRPr="007455E8" w:rsidR="007065A0" w:rsidP="00931BDF" w:rsidRDefault="00F15749" w14:paraId="5D655B27" w14:textId="20C5A097">
            <w:pPr>
              <w:spacing w:after="57"/>
              <w:rPr>
                <w:sz w:val="22"/>
                <w:szCs w:val="22"/>
              </w:rPr>
            </w:pPr>
            <w:r>
              <w:rPr>
                <w:sz w:val="22"/>
                <w:szCs w:val="22"/>
              </w:rPr>
              <w:t>11.9%</w:t>
            </w:r>
          </w:p>
        </w:tc>
      </w:tr>
      <w:tr w:rsidRPr="007455E8" w:rsidR="007065A0" w:rsidTr="007455E8" w14:paraId="70015196" w14:textId="7EA43B58">
        <w:tc>
          <w:tcPr>
            <w:tcW w:w="1719" w:type="dxa"/>
          </w:tcPr>
          <w:p w:rsidRPr="007455E8" w:rsidR="007065A0" w:rsidP="00931BDF" w:rsidRDefault="007065A0" w14:paraId="1389A63A" w14:textId="1999ACAC">
            <w:pPr>
              <w:spacing w:after="57"/>
              <w:rPr>
                <w:sz w:val="22"/>
                <w:szCs w:val="22"/>
              </w:rPr>
            </w:pPr>
            <w:r w:rsidRPr="007455E8">
              <w:rPr>
                <w:sz w:val="22"/>
                <w:szCs w:val="22"/>
              </w:rPr>
              <w:t>3</w:t>
            </w:r>
          </w:p>
        </w:tc>
        <w:tc>
          <w:tcPr>
            <w:tcW w:w="975" w:type="dxa"/>
          </w:tcPr>
          <w:p w:rsidRPr="007455E8" w:rsidR="007065A0" w:rsidP="00931BDF" w:rsidRDefault="007065A0" w14:paraId="22BABF83" w14:textId="057DAEC6">
            <w:pPr>
              <w:spacing w:after="57"/>
              <w:rPr>
                <w:sz w:val="22"/>
                <w:szCs w:val="22"/>
              </w:rPr>
            </w:pPr>
            <w:r w:rsidRPr="007455E8">
              <w:rPr>
                <w:sz w:val="22"/>
                <w:szCs w:val="22"/>
              </w:rPr>
              <w:t>40.0%</w:t>
            </w:r>
          </w:p>
        </w:tc>
        <w:tc>
          <w:tcPr>
            <w:tcW w:w="992" w:type="dxa"/>
          </w:tcPr>
          <w:p w:rsidRPr="007455E8" w:rsidR="007065A0" w:rsidP="00931BDF" w:rsidRDefault="007065A0" w14:paraId="7151C028" w14:textId="46CF59EE">
            <w:pPr>
              <w:spacing w:after="57"/>
              <w:rPr>
                <w:sz w:val="22"/>
                <w:szCs w:val="22"/>
              </w:rPr>
            </w:pPr>
            <w:r w:rsidRPr="007455E8">
              <w:rPr>
                <w:sz w:val="22"/>
                <w:szCs w:val="22"/>
              </w:rPr>
              <w:t>60.0%</w:t>
            </w:r>
          </w:p>
        </w:tc>
        <w:tc>
          <w:tcPr>
            <w:tcW w:w="993" w:type="dxa"/>
          </w:tcPr>
          <w:p w:rsidRPr="007455E8" w:rsidR="007065A0" w:rsidP="00931BDF" w:rsidRDefault="007065A0" w14:paraId="6845A7E1" w14:textId="77AB042F">
            <w:pPr>
              <w:spacing w:after="57"/>
              <w:rPr>
                <w:sz w:val="22"/>
                <w:szCs w:val="22"/>
              </w:rPr>
            </w:pPr>
            <w:r w:rsidRPr="007455E8">
              <w:rPr>
                <w:sz w:val="22"/>
                <w:szCs w:val="22"/>
              </w:rPr>
              <w:t>8.9%</w:t>
            </w:r>
          </w:p>
        </w:tc>
        <w:tc>
          <w:tcPr>
            <w:tcW w:w="1134" w:type="dxa"/>
          </w:tcPr>
          <w:p w:rsidRPr="007455E8" w:rsidR="007065A0" w:rsidP="00931BDF" w:rsidRDefault="007065A0" w14:paraId="53464B90" w14:textId="5E7170EF">
            <w:pPr>
              <w:spacing w:after="57"/>
              <w:rPr>
                <w:sz w:val="22"/>
                <w:szCs w:val="22"/>
              </w:rPr>
            </w:pPr>
            <w:r w:rsidRPr="007455E8">
              <w:rPr>
                <w:sz w:val="22"/>
                <w:szCs w:val="22"/>
              </w:rPr>
              <w:t>2% (1)</w:t>
            </w:r>
          </w:p>
        </w:tc>
        <w:tc>
          <w:tcPr>
            <w:tcW w:w="1417" w:type="dxa"/>
          </w:tcPr>
          <w:p w:rsidRPr="007455E8" w:rsidR="007065A0" w:rsidP="00931BDF" w:rsidRDefault="007065A0" w14:paraId="4ACDB192" w14:textId="028B2837">
            <w:pPr>
              <w:spacing w:after="57"/>
              <w:rPr>
                <w:sz w:val="22"/>
                <w:szCs w:val="22"/>
              </w:rPr>
            </w:pPr>
            <w:r w:rsidRPr="007455E8">
              <w:rPr>
                <w:sz w:val="22"/>
                <w:szCs w:val="22"/>
              </w:rPr>
              <w:t>13.3%</w:t>
            </w:r>
          </w:p>
        </w:tc>
        <w:tc>
          <w:tcPr>
            <w:tcW w:w="851" w:type="dxa"/>
          </w:tcPr>
          <w:p w:rsidRPr="007455E8" w:rsidR="007065A0" w:rsidP="00931BDF" w:rsidRDefault="00AC59AC" w14:paraId="0B85DC1D" w14:textId="5FA02601">
            <w:pPr>
              <w:spacing w:after="57"/>
              <w:rPr>
                <w:sz w:val="22"/>
                <w:szCs w:val="22"/>
              </w:rPr>
            </w:pPr>
            <w:r>
              <w:rPr>
                <w:sz w:val="22"/>
                <w:szCs w:val="22"/>
              </w:rPr>
              <w:t>8.9%</w:t>
            </w:r>
          </w:p>
        </w:tc>
        <w:tc>
          <w:tcPr>
            <w:tcW w:w="1134" w:type="dxa"/>
          </w:tcPr>
          <w:p w:rsidRPr="007455E8" w:rsidR="007065A0" w:rsidP="00931BDF" w:rsidRDefault="006A1A4D" w14:paraId="477AB30B" w14:textId="528EEC53">
            <w:pPr>
              <w:spacing w:after="57"/>
              <w:rPr>
                <w:sz w:val="22"/>
                <w:szCs w:val="22"/>
              </w:rPr>
            </w:pPr>
            <w:r>
              <w:rPr>
                <w:sz w:val="22"/>
                <w:szCs w:val="22"/>
              </w:rPr>
              <w:t>77.8%</w:t>
            </w:r>
          </w:p>
        </w:tc>
        <w:tc>
          <w:tcPr>
            <w:tcW w:w="1275" w:type="dxa"/>
          </w:tcPr>
          <w:p w:rsidRPr="007455E8" w:rsidR="007065A0" w:rsidP="00931BDF" w:rsidRDefault="00F15749" w14:paraId="7D85A5B0" w14:textId="29E97F94">
            <w:pPr>
              <w:spacing w:after="57"/>
              <w:rPr>
                <w:sz w:val="22"/>
                <w:szCs w:val="22"/>
              </w:rPr>
            </w:pPr>
            <w:r>
              <w:rPr>
                <w:sz w:val="22"/>
                <w:szCs w:val="22"/>
              </w:rPr>
              <w:t>22.2%</w:t>
            </w:r>
          </w:p>
        </w:tc>
      </w:tr>
      <w:tr w:rsidRPr="007455E8" w:rsidR="007065A0" w:rsidTr="007455E8" w14:paraId="6F76A7D8" w14:textId="6AE6ACC0">
        <w:tc>
          <w:tcPr>
            <w:tcW w:w="1719" w:type="dxa"/>
          </w:tcPr>
          <w:p w:rsidRPr="007455E8" w:rsidR="007065A0" w:rsidP="00931BDF" w:rsidRDefault="007065A0" w14:paraId="7DA3EA2A" w14:textId="3781FB35">
            <w:pPr>
              <w:spacing w:after="57"/>
              <w:rPr>
                <w:sz w:val="22"/>
                <w:szCs w:val="22"/>
              </w:rPr>
            </w:pPr>
            <w:r w:rsidRPr="007455E8">
              <w:rPr>
                <w:sz w:val="22"/>
                <w:szCs w:val="22"/>
              </w:rPr>
              <w:t>4</w:t>
            </w:r>
          </w:p>
        </w:tc>
        <w:tc>
          <w:tcPr>
            <w:tcW w:w="975" w:type="dxa"/>
          </w:tcPr>
          <w:p w:rsidRPr="007455E8" w:rsidR="007065A0" w:rsidP="00931BDF" w:rsidRDefault="007065A0" w14:paraId="145B4512" w14:textId="210A5151">
            <w:pPr>
              <w:spacing w:after="57"/>
              <w:rPr>
                <w:sz w:val="22"/>
                <w:szCs w:val="22"/>
              </w:rPr>
            </w:pPr>
            <w:r w:rsidRPr="007455E8">
              <w:rPr>
                <w:sz w:val="22"/>
                <w:szCs w:val="22"/>
              </w:rPr>
              <w:t>50.0%</w:t>
            </w:r>
          </w:p>
        </w:tc>
        <w:tc>
          <w:tcPr>
            <w:tcW w:w="992" w:type="dxa"/>
          </w:tcPr>
          <w:p w:rsidRPr="007455E8" w:rsidR="007065A0" w:rsidP="00931BDF" w:rsidRDefault="007065A0" w14:paraId="0C75881A" w14:textId="67DAD7EB">
            <w:pPr>
              <w:spacing w:after="57"/>
              <w:rPr>
                <w:sz w:val="22"/>
                <w:szCs w:val="22"/>
              </w:rPr>
            </w:pPr>
            <w:r w:rsidRPr="007455E8">
              <w:rPr>
                <w:sz w:val="22"/>
                <w:szCs w:val="22"/>
              </w:rPr>
              <w:t>50.0%</w:t>
            </w:r>
          </w:p>
        </w:tc>
        <w:tc>
          <w:tcPr>
            <w:tcW w:w="993" w:type="dxa"/>
          </w:tcPr>
          <w:p w:rsidRPr="007455E8" w:rsidR="007065A0" w:rsidP="00931BDF" w:rsidRDefault="007065A0" w14:paraId="13F308A4" w14:textId="2B6FBFEE">
            <w:pPr>
              <w:spacing w:after="57"/>
              <w:rPr>
                <w:sz w:val="22"/>
                <w:szCs w:val="22"/>
              </w:rPr>
            </w:pPr>
            <w:r w:rsidRPr="007455E8">
              <w:rPr>
                <w:sz w:val="22"/>
                <w:szCs w:val="22"/>
              </w:rPr>
              <w:t>17.9%</w:t>
            </w:r>
          </w:p>
        </w:tc>
        <w:tc>
          <w:tcPr>
            <w:tcW w:w="1134" w:type="dxa"/>
          </w:tcPr>
          <w:p w:rsidRPr="007455E8" w:rsidR="007065A0" w:rsidP="00931BDF" w:rsidRDefault="007065A0" w14:paraId="6D9F4215" w14:textId="1C4B534B">
            <w:pPr>
              <w:spacing w:after="57"/>
              <w:rPr>
                <w:sz w:val="22"/>
                <w:szCs w:val="22"/>
              </w:rPr>
            </w:pPr>
            <w:r w:rsidRPr="007455E8">
              <w:rPr>
                <w:sz w:val="22"/>
                <w:szCs w:val="22"/>
              </w:rPr>
              <w:t>2% (1)</w:t>
            </w:r>
          </w:p>
        </w:tc>
        <w:tc>
          <w:tcPr>
            <w:tcW w:w="1417" w:type="dxa"/>
          </w:tcPr>
          <w:p w:rsidRPr="007455E8" w:rsidR="007065A0" w:rsidP="00931BDF" w:rsidRDefault="007065A0" w14:paraId="11B71CEA" w14:textId="63A009E3">
            <w:pPr>
              <w:spacing w:after="57"/>
              <w:rPr>
                <w:sz w:val="22"/>
                <w:szCs w:val="22"/>
              </w:rPr>
            </w:pPr>
            <w:r w:rsidRPr="007455E8">
              <w:rPr>
                <w:sz w:val="22"/>
                <w:szCs w:val="22"/>
              </w:rPr>
              <w:t>12.5%</w:t>
            </w:r>
          </w:p>
        </w:tc>
        <w:tc>
          <w:tcPr>
            <w:tcW w:w="851" w:type="dxa"/>
          </w:tcPr>
          <w:p w:rsidRPr="007455E8" w:rsidR="007065A0" w:rsidP="00931BDF" w:rsidRDefault="00AC59AC" w14:paraId="775D3BD2" w14:textId="6427FAE9">
            <w:pPr>
              <w:spacing w:after="57"/>
              <w:rPr>
                <w:sz w:val="22"/>
                <w:szCs w:val="22"/>
              </w:rPr>
            </w:pPr>
            <w:r>
              <w:rPr>
                <w:sz w:val="22"/>
                <w:szCs w:val="22"/>
              </w:rPr>
              <w:t>8.9%</w:t>
            </w:r>
          </w:p>
        </w:tc>
        <w:tc>
          <w:tcPr>
            <w:tcW w:w="1134" w:type="dxa"/>
          </w:tcPr>
          <w:p w:rsidRPr="007455E8" w:rsidR="007065A0" w:rsidP="00931BDF" w:rsidRDefault="006A1A4D" w14:paraId="0D4DAA61" w14:textId="558F8110">
            <w:pPr>
              <w:spacing w:after="57"/>
              <w:rPr>
                <w:sz w:val="22"/>
                <w:szCs w:val="22"/>
              </w:rPr>
            </w:pPr>
            <w:r>
              <w:rPr>
                <w:sz w:val="22"/>
                <w:szCs w:val="22"/>
              </w:rPr>
              <w:t>78.6%</w:t>
            </w:r>
          </w:p>
        </w:tc>
        <w:tc>
          <w:tcPr>
            <w:tcW w:w="1275" w:type="dxa"/>
          </w:tcPr>
          <w:p w:rsidRPr="007455E8" w:rsidR="007065A0" w:rsidP="00931BDF" w:rsidRDefault="00F15749" w14:paraId="2E7E3105" w14:textId="39A5110D">
            <w:pPr>
              <w:spacing w:after="57"/>
              <w:rPr>
                <w:sz w:val="22"/>
                <w:szCs w:val="22"/>
              </w:rPr>
            </w:pPr>
            <w:r>
              <w:rPr>
                <w:sz w:val="22"/>
                <w:szCs w:val="22"/>
              </w:rPr>
              <w:t>21.4%</w:t>
            </w:r>
          </w:p>
        </w:tc>
      </w:tr>
      <w:tr w:rsidRPr="007455E8" w:rsidR="007065A0" w:rsidTr="007455E8" w14:paraId="220BDF89" w14:textId="332EC16F">
        <w:tc>
          <w:tcPr>
            <w:tcW w:w="1719" w:type="dxa"/>
          </w:tcPr>
          <w:p w:rsidRPr="007455E8" w:rsidR="007065A0" w:rsidP="00931BDF" w:rsidRDefault="007065A0" w14:paraId="3611EE06" w14:textId="108EE6FD">
            <w:pPr>
              <w:spacing w:after="57"/>
              <w:rPr>
                <w:sz w:val="22"/>
                <w:szCs w:val="22"/>
              </w:rPr>
            </w:pPr>
            <w:r w:rsidRPr="007455E8">
              <w:rPr>
                <w:sz w:val="22"/>
                <w:szCs w:val="22"/>
              </w:rPr>
              <w:t>5</w:t>
            </w:r>
          </w:p>
        </w:tc>
        <w:tc>
          <w:tcPr>
            <w:tcW w:w="975" w:type="dxa"/>
          </w:tcPr>
          <w:p w:rsidRPr="007455E8" w:rsidR="007065A0" w:rsidP="00931BDF" w:rsidRDefault="007065A0" w14:paraId="68E52D06" w14:textId="257BA0C9">
            <w:pPr>
              <w:spacing w:after="57"/>
              <w:rPr>
                <w:sz w:val="22"/>
                <w:szCs w:val="22"/>
              </w:rPr>
            </w:pPr>
            <w:r w:rsidRPr="007455E8">
              <w:rPr>
                <w:sz w:val="22"/>
                <w:szCs w:val="22"/>
              </w:rPr>
              <w:t>41.2%</w:t>
            </w:r>
          </w:p>
        </w:tc>
        <w:tc>
          <w:tcPr>
            <w:tcW w:w="992" w:type="dxa"/>
          </w:tcPr>
          <w:p w:rsidRPr="007455E8" w:rsidR="007065A0" w:rsidP="00931BDF" w:rsidRDefault="007065A0" w14:paraId="3AFD3F02" w14:textId="5C62923C">
            <w:pPr>
              <w:spacing w:after="57"/>
              <w:rPr>
                <w:sz w:val="22"/>
                <w:szCs w:val="22"/>
              </w:rPr>
            </w:pPr>
            <w:r w:rsidRPr="007455E8">
              <w:rPr>
                <w:sz w:val="22"/>
                <w:szCs w:val="22"/>
              </w:rPr>
              <w:t>58.8%</w:t>
            </w:r>
          </w:p>
        </w:tc>
        <w:tc>
          <w:tcPr>
            <w:tcW w:w="993" w:type="dxa"/>
          </w:tcPr>
          <w:p w:rsidRPr="007455E8" w:rsidR="007065A0" w:rsidP="00931BDF" w:rsidRDefault="007065A0" w14:paraId="206704EC" w14:textId="2C8B0757">
            <w:pPr>
              <w:spacing w:after="57"/>
              <w:rPr>
                <w:sz w:val="22"/>
                <w:szCs w:val="22"/>
              </w:rPr>
            </w:pPr>
            <w:r w:rsidRPr="007455E8">
              <w:rPr>
                <w:sz w:val="22"/>
                <w:szCs w:val="22"/>
              </w:rPr>
              <w:t>17.6%</w:t>
            </w:r>
          </w:p>
        </w:tc>
        <w:tc>
          <w:tcPr>
            <w:tcW w:w="1134" w:type="dxa"/>
          </w:tcPr>
          <w:p w:rsidRPr="007455E8" w:rsidR="007065A0" w:rsidP="00931BDF" w:rsidRDefault="007065A0" w14:paraId="2B34995E" w14:textId="10C718A0">
            <w:pPr>
              <w:spacing w:after="57"/>
              <w:rPr>
                <w:sz w:val="22"/>
                <w:szCs w:val="22"/>
              </w:rPr>
            </w:pPr>
            <w:r w:rsidRPr="007455E8">
              <w:rPr>
                <w:sz w:val="22"/>
                <w:szCs w:val="22"/>
              </w:rPr>
              <w:t>0</w:t>
            </w:r>
          </w:p>
        </w:tc>
        <w:tc>
          <w:tcPr>
            <w:tcW w:w="1417" w:type="dxa"/>
          </w:tcPr>
          <w:p w:rsidRPr="007455E8" w:rsidR="007065A0" w:rsidP="00931BDF" w:rsidRDefault="007065A0" w14:paraId="1BEC7781" w14:textId="5C880581">
            <w:pPr>
              <w:spacing w:after="57"/>
              <w:rPr>
                <w:sz w:val="22"/>
                <w:szCs w:val="22"/>
              </w:rPr>
            </w:pPr>
            <w:r w:rsidRPr="007455E8">
              <w:rPr>
                <w:sz w:val="22"/>
                <w:szCs w:val="22"/>
              </w:rPr>
              <w:t>17.6%</w:t>
            </w:r>
          </w:p>
        </w:tc>
        <w:tc>
          <w:tcPr>
            <w:tcW w:w="851" w:type="dxa"/>
          </w:tcPr>
          <w:p w:rsidRPr="007455E8" w:rsidR="007065A0" w:rsidP="00931BDF" w:rsidRDefault="00AC59AC" w14:paraId="524A3981" w14:textId="58857898">
            <w:pPr>
              <w:spacing w:after="57"/>
              <w:rPr>
                <w:sz w:val="22"/>
                <w:szCs w:val="22"/>
              </w:rPr>
            </w:pPr>
            <w:r>
              <w:rPr>
                <w:sz w:val="22"/>
                <w:szCs w:val="22"/>
              </w:rPr>
              <w:t>5.9%</w:t>
            </w:r>
          </w:p>
        </w:tc>
        <w:tc>
          <w:tcPr>
            <w:tcW w:w="1134" w:type="dxa"/>
          </w:tcPr>
          <w:p w:rsidRPr="007455E8" w:rsidR="007065A0" w:rsidP="00931BDF" w:rsidRDefault="00793B94" w14:paraId="00F84C34" w14:textId="69B0641F">
            <w:pPr>
              <w:spacing w:after="57"/>
              <w:rPr>
                <w:sz w:val="22"/>
                <w:szCs w:val="22"/>
              </w:rPr>
            </w:pPr>
            <w:r>
              <w:rPr>
                <w:sz w:val="22"/>
                <w:szCs w:val="22"/>
              </w:rPr>
              <w:t>84.3%</w:t>
            </w:r>
          </w:p>
        </w:tc>
        <w:tc>
          <w:tcPr>
            <w:tcW w:w="1275" w:type="dxa"/>
          </w:tcPr>
          <w:p w:rsidRPr="007455E8" w:rsidR="007065A0" w:rsidP="00931BDF" w:rsidRDefault="00F15749" w14:paraId="23BF81B6" w14:textId="563BA793">
            <w:pPr>
              <w:spacing w:after="57"/>
              <w:rPr>
                <w:sz w:val="22"/>
                <w:szCs w:val="22"/>
              </w:rPr>
            </w:pPr>
            <w:r>
              <w:rPr>
                <w:sz w:val="22"/>
                <w:szCs w:val="22"/>
              </w:rPr>
              <w:t>15.7%</w:t>
            </w:r>
          </w:p>
        </w:tc>
      </w:tr>
      <w:tr w:rsidRPr="007455E8" w:rsidR="007065A0" w:rsidTr="007455E8" w14:paraId="56921126" w14:textId="65E3F9F4">
        <w:tc>
          <w:tcPr>
            <w:tcW w:w="1719" w:type="dxa"/>
          </w:tcPr>
          <w:p w:rsidRPr="007455E8" w:rsidR="007065A0" w:rsidP="00931BDF" w:rsidRDefault="007065A0" w14:paraId="3C8B455D" w14:textId="55403D5E">
            <w:pPr>
              <w:spacing w:after="57"/>
              <w:rPr>
                <w:sz w:val="22"/>
                <w:szCs w:val="22"/>
              </w:rPr>
            </w:pPr>
            <w:r w:rsidRPr="007455E8">
              <w:rPr>
                <w:sz w:val="22"/>
                <w:szCs w:val="22"/>
              </w:rPr>
              <w:t>6</w:t>
            </w:r>
          </w:p>
        </w:tc>
        <w:tc>
          <w:tcPr>
            <w:tcW w:w="975" w:type="dxa"/>
          </w:tcPr>
          <w:p w:rsidRPr="007455E8" w:rsidR="007065A0" w:rsidP="00931BDF" w:rsidRDefault="007065A0" w14:paraId="45F0DC46" w14:textId="7D977927">
            <w:pPr>
              <w:spacing w:after="57"/>
              <w:rPr>
                <w:sz w:val="22"/>
                <w:szCs w:val="22"/>
              </w:rPr>
            </w:pPr>
            <w:r w:rsidRPr="007455E8">
              <w:rPr>
                <w:sz w:val="22"/>
                <w:szCs w:val="22"/>
              </w:rPr>
              <w:t>44.1%</w:t>
            </w:r>
          </w:p>
        </w:tc>
        <w:tc>
          <w:tcPr>
            <w:tcW w:w="992" w:type="dxa"/>
          </w:tcPr>
          <w:p w:rsidRPr="007455E8" w:rsidR="007065A0" w:rsidP="00931BDF" w:rsidRDefault="007065A0" w14:paraId="443F3AF4" w14:textId="00A5F073">
            <w:pPr>
              <w:spacing w:after="57"/>
              <w:rPr>
                <w:sz w:val="22"/>
                <w:szCs w:val="22"/>
              </w:rPr>
            </w:pPr>
            <w:r w:rsidRPr="007455E8">
              <w:rPr>
                <w:sz w:val="22"/>
                <w:szCs w:val="22"/>
              </w:rPr>
              <w:t>55.9%</w:t>
            </w:r>
          </w:p>
        </w:tc>
        <w:tc>
          <w:tcPr>
            <w:tcW w:w="993" w:type="dxa"/>
          </w:tcPr>
          <w:p w:rsidRPr="007455E8" w:rsidR="007065A0" w:rsidP="00931BDF" w:rsidRDefault="007065A0" w14:paraId="48C56E18" w14:textId="7A88F23F">
            <w:pPr>
              <w:spacing w:after="57"/>
              <w:rPr>
                <w:sz w:val="22"/>
                <w:szCs w:val="22"/>
              </w:rPr>
            </w:pPr>
            <w:r w:rsidRPr="007455E8">
              <w:rPr>
                <w:sz w:val="22"/>
                <w:szCs w:val="22"/>
              </w:rPr>
              <w:t>25.4%</w:t>
            </w:r>
          </w:p>
        </w:tc>
        <w:tc>
          <w:tcPr>
            <w:tcW w:w="1134" w:type="dxa"/>
          </w:tcPr>
          <w:p w:rsidRPr="007455E8" w:rsidR="007065A0" w:rsidP="00931BDF" w:rsidRDefault="007065A0" w14:paraId="591D652F" w14:textId="16A0AB2B">
            <w:pPr>
              <w:spacing w:after="57"/>
              <w:rPr>
                <w:sz w:val="22"/>
                <w:szCs w:val="22"/>
              </w:rPr>
            </w:pPr>
            <w:r w:rsidRPr="007455E8">
              <w:rPr>
                <w:sz w:val="22"/>
                <w:szCs w:val="22"/>
              </w:rPr>
              <w:t>2% (1)</w:t>
            </w:r>
          </w:p>
        </w:tc>
        <w:tc>
          <w:tcPr>
            <w:tcW w:w="1417" w:type="dxa"/>
          </w:tcPr>
          <w:p w:rsidRPr="007455E8" w:rsidR="007065A0" w:rsidP="00931BDF" w:rsidRDefault="007065A0" w14:paraId="57BFAD71" w14:textId="7B1987A7">
            <w:pPr>
              <w:spacing w:after="57"/>
              <w:rPr>
                <w:sz w:val="22"/>
                <w:szCs w:val="22"/>
              </w:rPr>
            </w:pPr>
            <w:r w:rsidRPr="007455E8">
              <w:rPr>
                <w:sz w:val="22"/>
                <w:szCs w:val="22"/>
              </w:rPr>
              <w:t>11.9%</w:t>
            </w:r>
          </w:p>
        </w:tc>
        <w:tc>
          <w:tcPr>
            <w:tcW w:w="851" w:type="dxa"/>
          </w:tcPr>
          <w:p w:rsidRPr="007455E8" w:rsidR="007065A0" w:rsidP="00931BDF" w:rsidRDefault="00AC59AC" w14:paraId="2DC11649" w14:textId="3C5DAAD0">
            <w:pPr>
              <w:spacing w:after="57"/>
              <w:rPr>
                <w:sz w:val="22"/>
                <w:szCs w:val="22"/>
              </w:rPr>
            </w:pPr>
            <w:r>
              <w:rPr>
                <w:sz w:val="22"/>
                <w:szCs w:val="22"/>
              </w:rPr>
              <w:t>3.4%</w:t>
            </w:r>
          </w:p>
        </w:tc>
        <w:tc>
          <w:tcPr>
            <w:tcW w:w="1134" w:type="dxa"/>
          </w:tcPr>
          <w:p w:rsidRPr="007455E8" w:rsidR="007065A0" w:rsidP="00931BDF" w:rsidRDefault="00793B94" w14:paraId="5AE2E544" w14:textId="6520E226">
            <w:pPr>
              <w:spacing w:after="57"/>
              <w:rPr>
                <w:sz w:val="22"/>
                <w:szCs w:val="22"/>
              </w:rPr>
            </w:pPr>
            <w:r>
              <w:rPr>
                <w:sz w:val="22"/>
                <w:szCs w:val="22"/>
              </w:rPr>
              <w:t>81.4%</w:t>
            </w:r>
          </w:p>
        </w:tc>
        <w:tc>
          <w:tcPr>
            <w:tcW w:w="1275" w:type="dxa"/>
          </w:tcPr>
          <w:p w:rsidRPr="007455E8" w:rsidR="007065A0" w:rsidP="00931BDF" w:rsidRDefault="00F3329F" w14:paraId="75F8ED7D" w14:textId="76F3EA5C">
            <w:pPr>
              <w:spacing w:after="57"/>
              <w:rPr>
                <w:sz w:val="22"/>
                <w:szCs w:val="22"/>
              </w:rPr>
            </w:pPr>
            <w:r>
              <w:rPr>
                <w:sz w:val="22"/>
                <w:szCs w:val="22"/>
              </w:rPr>
              <w:t>18.6%</w:t>
            </w:r>
          </w:p>
        </w:tc>
      </w:tr>
    </w:tbl>
    <w:p w:rsidR="00624FE4" w:rsidRDefault="00624FE4" w14:paraId="58079BAA" w14:textId="47EA0BB3"/>
    <w:p w:rsidRPr="005B1565" w:rsidR="00C72BCC" w:rsidRDefault="00C72BCC" w14:paraId="09202CF1" w14:textId="49A55861">
      <w:pPr>
        <w:rPr>
          <w:b/>
          <w:bCs/>
          <w:u w:val="single"/>
        </w:rPr>
      </w:pPr>
      <w:r w:rsidRPr="005B1565">
        <w:rPr>
          <w:b/>
          <w:bCs/>
          <w:u w:val="single"/>
        </w:rPr>
        <w:t>Equality Objectives (2024-2028)</w:t>
      </w:r>
    </w:p>
    <w:tbl>
      <w:tblPr>
        <w:tblStyle w:val="TableGrid0"/>
        <w:tblW w:w="0" w:type="auto"/>
        <w:tblLook w:val="04A0" w:firstRow="1" w:lastRow="0" w:firstColumn="1" w:lastColumn="0" w:noHBand="0" w:noVBand="1"/>
      </w:tblPr>
      <w:tblGrid>
        <w:gridCol w:w="4508"/>
        <w:gridCol w:w="4508"/>
      </w:tblGrid>
      <w:tr w:rsidR="003C25AD" w:rsidTr="0B3837AE" w14:paraId="2FB8CB29" w14:textId="77777777">
        <w:tc>
          <w:tcPr>
            <w:tcW w:w="4508" w:type="dxa"/>
            <w:tcMar/>
          </w:tcPr>
          <w:p w:rsidR="003C25AD" w:rsidRDefault="003C25AD" w14:paraId="0A8C3D2E" w14:textId="5FB50604">
            <w:r>
              <w:t>Objective</w:t>
            </w:r>
          </w:p>
        </w:tc>
        <w:tc>
          <w:tcPr>
            <w:tcW w:w="4508" w:type="dxa"/>
            <w:tcMar/>
          </w:tcPr>
          <w:p w:rsidR="003C25AD" w:rsidRDefault="003C25AD" w14:paraId="4113CD53" w14:textId="17ACE955">
            <w:r>
              <w:t>Action</w:t>
            </w:r>
          </w:p>
        </w:tc>
      </w:tr>
      <w:tr w:rsidR="003C25AD" w:rsidTr="0B3837AE" w14:paraId="23F7A0AA" w14:textId="77777777">
        <w:tc>
          <w:tcPr>
            <w:tcW w:w="4508" w:type="dxa"/>
            <w:tcMar/>
          </w:tcPr>
          <w:p w:rsidR="003C25AD" w:rsidRDefault="003C25AD" w14:paraId="5F56ADD9" w14:textId="0FDE43B7">
            <w:r w:rsidRPr="00C72BCC">
              <w:t xml:space="preserve">To promote spiritual, moral, social and cultural development through all appropriate curricular opportunities, with </w:t>
            </w:r>
            <w:proofErr w:type="gramStart"/>
            <w:r w:rsidRPr="00C72BCC">
              <w:t>particular reference</w:t>
            </w:r>
            <w:proofErr w:type="gramEnd"/>
            <w:r w:rsidRPr="00C72BCC">
              <w:t xml:space="preserve"> to issues of equality and diversity</w:t>
            </w:r>
          </w:p>
        </w:tc>
        <w:tc>
          <w:tcPr>
            <w:tcW w:w="4508" w:type="dxa"/>
            <w:tcMar/>
          </w:tcPr>
          <w:p w:rsidR="003C25AD" w:rsidRDefault="003C25AD" w14:paraId="1B584263" w14:textId="20C4475B">
            <w:r w:rsidR="42FCE700">
              <w:rPr/>
              <w:t xml:space="preserve">Ensuring that PSHCE is the main curriculum driver, which is also supplemented by the ‘No Outsiders’ programme and </w:t>
            </w:r>
            <w:r w:rsidR="2A750E01">
              <w:rPr/>
              <w:t>‘Rou</w:t>
            </w:r>
            <w:r w:rsidR="1EA5BDE1">
              <w:rPr/>
              <w:t>t</w:t>
            </w:r>
            <w:r w:rsidR="2A750E01">
              <w:rPr/>
              <w:t>e to Resilience’ programme.</w:t>
            </w:r>
          </w:p>
        </w:tc>
      </w:tr>
      <w:tr w:rsidR="003C25AD" w:rsidTr="0B3837AE" w14:paraId="111843F7" w14:textId="77777777">
        <w:tc>
          <w:tcPr>
            <w:tcW w:w="4508" w:type="dxa"/>
            <w:tcMar/>
          </w:tcPr>
          <w:p w:rsidR="003C25AD" w:rsidRDefault="00E7340A" w14:paraId="6AAECA4A" w14:textId="77777777">
            <w:r w:rsidRPr="00C72BCC">
              <w:t>To reduce prejudice and increase understanding of equality through direct teaching across the curriculum</w:t>
            </w:r>
          </w:p>
          <w:p w:rsidR="00CF7790" w:rsidRDefault="00CF7790" w14:paraId="0906A4C6" w14:textId="77777777"/>
          <w:p w:rsidR="00CF7790" w:rsidRDefault="00CF7790" w14:paraId="6DDB6548" w14:textId="5EEBF474">
            <w:r w:rsidRPr="00C72BCC">
              <w:t>To prevent the incidence of prejudice-related bullying in relation to the protected characteristics listed in the Equality Act 201</w:t>
            </w:r>
            <w:r>
              <w:t>0</w:t>
            </w:r>
          </w:p>
        </w:tc>
        <w:tc>
          <w:tcPr>
            <w:tcW w:w="4508" w:type="dxa"/>
            <w:tcMar/>
          </w:tcPr>
          <w:p w:rsidR="003C25AD" w:rsidRDefault="00E7340A" w14:paraId="14C97EF5" w14:textId="3521B856">
            <w:r>
              <w:t xml:space="preserve">Monitoring the impact of the ‘No Outsiders’ programme </w:t>
            </w:r>
            <w:r w:rsidR="004253B9">
              <w:t>through behaviour monitoring and pupil voice.</w:t>
            </w:r>
          </w:p>
        </w:tc>
      </w:tr>
      <w:tr w:rsidR="003C25AD" w:rsidTr="0B3837AE" w14:paraId="2468BACC" w14:textId="77777777">
        <w:tc>
          <w:tcPr>
            <w:tcW w:w="4508" w:type="dxa"/>
            <w:tcMar/>
          </w:tcPr>
          <w:p w:rsidR="003C25AD" w:rsidRDefault="004253B9" w14:paraId="6AF40EBA" w14:textId="17B26ACC">
            <w:r>
              <w:t xml:space="preserve">Narrow the gap between girls and boys in </w:t>
            </w:r>
            <w:r w:rsidR="002A0BFA">
              <w:t>Maths</w:t>
            </w:r>
          </w:p>
        </w:tc>
        <w:tc>
          <w:tcPr>
            <w:tcW w:w="4508" w:type="dxa"/>
            <w:tcMar/>
          </w:tcPr>
          <w:p w:rsidR="003C25AD" w:rsidRDefault="003C25AD" w14:paraId="2FE5F806" w14:textId="77777777" w14:noSpellErr="1">
            <w:commentRangeStart w:id="61931038"/>
            <w:commentRangeEnd w:id="61931038"/>
            <w:r>
              <w:rPr>
                <w:rStyle w:val="CommentReference"/>
              </w:rPr>
              <w:commentReference w:id="61931038"/>
            </w:r>
          </w:p>
        </w:tc>
      </w:tr>
      <w:tr w:rsidR="003C25AD" w:rsidTr="0B3837AE" w14:paraId="36DA2C9F" w14:textId="77777777">
        <w:tc>
          <w:tcPr>
            <w:tcW w:w="4508" w:type="dxa"/>
            <w:tcMar/>
          </w:tcPr>
          <w:p w:rsidR="003C25AD" w:rsidRDefault="002A0BFA" w14:paraId="60D2FBEC" w14:textId="246C11D2">
            <w:r>
              <w:t xml:space="preserve">Narrow the gap between girls and boys in reading and writing </w:t>
            </w:r>
          </w:p>
        </w:tc>
        <w:tc>
          <w:tcPr>
            <w:tcW w:w="4508" w:type="dxa"/>
            <w:tcMar/>
          </w:tcPr>
          <w:p w:rsidR="003C25AD" w:rsidRDefault="003C25AD" w14:paraId="19178872" w14:textId="77777777"/>
        </w:tc>
      </w:tr>
      <w:tr w:rsidR="00CF7790" w:rsidTr="0B3837AE" w14:paraId="52D454FA" w14:textId="77777777">
        <w:tc>
          <w:tcPr>
            <w:tcW w:w="4508" w:type="dxa"/>
            <w:tcMar/>
          </w:tcPr>
          <w:p w:rsidR="00CF7790" w:rsidRDefault="00CF7790" w14:paraId="33D69F79" w14:textId="41571D1D">
            <w:r w:rsidRPr="00C72BCC">
              <w:t>To promote cultural development and understanding through a rich range of experiences both in and beyond the school. Particularly through the teaching of foreign languages and culture</w:t>
            </w:r>
          </w:p>
        </w:tc>
        <w:tc>
          <w:tcPr>
            <w:tcW w:w="4508" w:type="dxa"/>
            <w:tcMar/>
          </w:tcPr>
          <w:p w:rsidR="00CF7790" w:rsidRDefault="00AD57F6" w14:paraId="4BB0A5C5" w14:textId="05CA3270">
            <w:r w:rsidR="5ED2879A">
              <w:rPr/>
              <w:t xml:space="preserve">To continue to </w:t>
            </w:r>
            <w:r w:rsidR="758D64BD">
              <w:rPr/>
              <w:t>teach Mandarin from EYFS and have cultural experiences and trips mapped out from EYFS to Year 6</w:t>
            </w:r>
            <w:r w:rsidR="0AEA17B9">
              <w:rPr/>
              <w:t xml:space="preserve">. </w:t>
            </w:r>
            <w:commentRangeStart w:id="1771603172"/>
            <w:commentRangeEnd w:id="1771603172"/>
            <w:r>
              <w:rPr>
                <w:rStyle w:val="CommentReference"/>
              </w:rPr>
              <w:commentReference w:id="1771603172"/>
            </w:r>
          </w:p>
        </w:tc>
      </w:tr>
    </w:tbl>
    <w:p w:rsidR="00C72BCC" w:rsidP="005B1565" w:rsidRDefault="00C72BCC" w14:paraId="0F9BF5AB" w14:textId="25F32718"/>
    <w:sectPr w:rsidR="00C72BCC">
      <w:pgSz w:w="11906" w:h="16838" w:orient="portrait"/>
      <w:pgMar w:top="1440" w:right="1440" w:bottom="1440" w:left="144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w:initials="BB" w:author="Brendan Brannigan" w:date="2024-09-08T21:13:13" w:id="1921268386">
    <w:p w:rsidR="0B3837AE" w:rsidRDefault="0B3837AE" w14:paraId="636C0FBC" w14:textId="3D8C5D26">
      <w:pPr>
        <w:pStyle w:val="CommentText"/>
      </w:pPr>
      <w:r w:rsidR="0B3837AE">
        <w:rPr/>
        <w:t>We don't do this anymore</w:t>
      </w:r>
      <w:r>
        <w:rPr>
          <w:rStyle w:val="CommentReference"/>
        </w:rPr>
        <w:annotationRef/>
      </w:r>
    </w:p>
  </w:comment>
  <w:comment w:initials="BB" w:author="Brendan Brannigan" w:date="2024-09-08T21:17:00" w:id="61931038">
    <w:p w:rsidR="0B3837AE" w:rsidRDefault="0B3837AE" w14:paraId="26DFC85A" w14:textId="7F2996A0">
      <w:pPr>
        <w:pStyle w:val="CommentText"/>
      </w:pPr>
      <w:r w:rsidR="0B3837AE">
        <w:rPr/>
        <w:t>Our School Development Plan for 2024/25 sets out the steps the school will take to ensure the gap closes.</w:t>
      </w:r>
      <w:r>
        <w:rPr>
          <w:rStyle w:val="CommentReference"/>
        </w:rPr>
        <w:annotationRef/>
      </w:r>
    </w:p>
  </w:comment>
  <w:comment w:initials="BB" w:author="Brendan Brannigan" w:date="2024-09-08T21:18:29" w:id="1771603172">
    <w:p w:rsidR="0B3837AE" w:rsidRDefault="0B3837AE" w14:paraId="4A5E21B4" w14:textId="79B79C94">
      <w:pPr>
        <w:pStyle w:val="CommentText"/>
      </w:pPr>
      <w:r w:rsidR="0B3837AE">
        <w:rPr/>
        <w:t>Also to continue the close working partnership with the Confucius Institute at DeMonfort, particularly for key celebrations such as Chinese New Year.</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636C0FBC"/>
  <w15:commentEx w15:done="0" w15:paraId="26DFC85A"/>
  <w15:commentEx w15:done="0" w15:paraId="4A5E21B4"/>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0DB635" w16cex:dateUtc="2024-09-08T20:13:13.618Z"/>
  <w16cex:commentExtensible w16cex:durableId="09B75CC7" w16cex:dateUtc="2024-09-08T20:17:00.182Z"/>
  <w16cex:commentExtensible w16cex:durableId="79DBD110" w16cex:dateUtc="2024-09-08T20:18:29.219Z"/>
</w16cex:commentsExtensible>
</file>

<file path=word/commentsIds.xml><?xml version="1.0" encoding="utf-8"?>
<w16cid:commentsIds xmlns:mc="http://schemas.openxmlformats.org/markup-compatibility/2006" xmlns:w16cid="http://schemas.microsoft.com/office/word/2016/wordml/cid" mc:Ignorable="w16cid">
  <w16cid:commentId w16cid:paraId="636C0FBC" w16cid:durableId="4C0DB635"/>
  <w16cid:commentId w16cid:paraId="26DFC85A" w16cid:durableId="09B75CC7"/>
  <w16cid:commentId w16cid:paraId="4A5E21B4" w16cid:durableId="79DBD1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827EF"/>
    <w:multiLevelType w:val="hybridMultilevel"/>
    <w:tmpl w:val="91E45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BC05BF7"/>
    <w:multiLevelType w:val="multilevel"/>
    <w:tmpl w:val="A67EDE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D753878"/>
    <w:multiLevelType w:val="hybridMultilevel"/>
    <w:tmpl w:val="FC944B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E844122"/>
    <w:multiLevelType w:val="multilevel"/>
    <w:tmpl w:val="DF9C23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7563AB"/>
    <w:multiLevelType w:val="multilevel"/>
    <w:tmpl w:val="DB8E6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38BC35F7"/>
    <w:multiLevelType w:val="hybridMultilevel"/>
    <w:tmpl w:val="E26CD116"/>
    <w:lvl w:ilvl="0" w:tplc="F5EE429A">
      <w:start w:val="1"/>
      <w:numFmt w:val="bullet"/>
      <w:lvlText w:val="▪"/>
      <w:lvlJc w:val="left"/>
      <w:pPr>
        <w:ind w:left="72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1" w:tplc="689EEB02">
      <w:start w:val="1"/>
      <w:numFmt w:val="bullet"/>
      <w:lvlText w:val="o"/>
      <w:lvlJc w:val="left"/>
      <w:pPr>
        <w:ind w:left="144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2" w:tplc="45901ECC">
      <w:start w:val="1"/>
      <w:numFmt w:val="bullet"/>
      <w:lvlText w:val="▪"/>
      <w:lvlJc w:val="left"/>
      <w:pPr>
        <w:ind w:left="216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3" w:tplc="C48A7086">
      <w:start w:val="1"/>
      <w:numFmt w:val="bullet"/>
      <w:lvlText w:val="•"/>
      <w:lvlJc w:val="left"/>
      <w:pPr>
        <w:ind w:left="288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4" w:tplc="4FB66728">
      <w:start w:val="1"/>
      <w:numFmt w:val="bullet"/>
      <w:lvlText w:val="o"/>
      <w:lvlJc w:val="left"/>
      <w:pPr>
        <w:ind w:left="360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5" w:tplc="FA7C1EFE">
      <w:start w:val="1"/>
      <w:numFmt w:val="bullet"/>
      <w:lvlText w:val="▪"/>
      <w:lvlJc w:val="left"/>
      <w:pPr>
        <w:ind w:left="432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6" w:tplc="7696D3C0">
      <w:start w:val="1"/>
      <w:numFmt w:val="bullet"/>
      <w:lvlText w:val="•"/>
      <w:lvlJc w:val="left"/>
      <w:pPr>
        <w:ind w:left="504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7" w:tplc="08B21298">
      <w:start w:val="1"/>
      <w:numFmt w:val="bullet"/>
      <w:lvlText w:val="o"/>
      <w:lvlJc w:val="left"/>
      <w:pPr>
        <w:ind w:left="576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lvl w:ilvl="8" w:tplc="94842CB0">
      <w:start w:val="1"/>
      <w:numFmt w:val="bullet"/>
      <w:lvlText w:val="▪"/>
      <w:lvlJc w:val="left"/>
      <w:pPr>
        <w:ind w:left="6480"/>
      </w:pPr>
      <w:rPr>
        <w:rFonts w:ascii="Wingdings" w:hAnsi="Wingdings" w:eastAsia="Wingdings" w:cs="Wingdings"/>
        <w:b w:val="0"/>
        <w:i w:val="0"/>
        <w:strike w:val="0"/>
        <w:dstrike w:val="0"/>
        <w:color w:val="000000"/>
        <w:sz w:val="28"/>
        <w:szCs w:val="28"/>
        <w:u w:val="none" w:color="000000"/>
        <w:bdr w:val="none" w:color="auto" w:sz="0" w:space="0"/>
        <w:shd w:val="clear" w:color="auto" w:fill="auto"/>
        <w:vertAlign w:val="baseline"/>
      </w:rPr>
    </w:lvl>
  </w:abstractNum>
  <w:abstractNum w:abstractNumId="6" w15:restartNumberingAfterBreak="0">
    <w:nsid w:val="593D4826"/>
    <w:multiLevelType w:val="hybridMultilevel"/>
    <w:tmpl w:val="46B615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AA82F61"/>
    <w:multiLevelType w:val="hybridMultilevel"/>
    <w:tmpl w:val="BF7EDF8E"/>
    <w:lvl w:ilvl="0" w:tplc="0DCEE3EC">
      <w:start w:val="1"/>
      <w:numFmt w:val="bullet"/>
      <w:lvlText w:val="▪"/>
      <w:lvlJc w:val="left"/>
      <w:pPr>
        <w:ind w:left="7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1" w:tplc="97FAD3A2">
      <w:start w:val="1"/>
      <w:numFmt w:val="bullet"/>
      <w:lvlText w:val="o"/>
      <w:lvlJc w:val="left"/>
      <w:pPr>
        <w:ind w:left="14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2" w:tplc="804EAC9A">
      <w:start w:val="1"/>
      <w:numFmt w:val="bullet"/>
      <w:lvlText w:val="▪"/>
      <w:lvlJc w:val="left"/>
      <w:pPr>
        <w:ind w:left="21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3" w:tplc="46126F1C">
      <w:start w:val="1"/>
      <w:numFmt w:val="bullet"/>
      <w:lvlText w:val="•"/>
      <w:lvlJc w:val="left"/>
      <w:pPr>
        <w:ind w:left="28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4" w:tplc="E5A0C83C">
      <w:start w:val="1"/>
      <w:numFmt w:val="bullet"/>
      <w:lvlText w:val="o"/>
      <w:lvlJc w:val="left"/>
      <w:pPr>
        <w:ind w:left="360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5" w:tplc="1946DA7E">
      <w:start w:val="1"/>
      <w:numFmt w:val="bullet"/>
      <w:lvlText w:val="▪"/>
      <w:lvlJc w:val="left"/>
      <w:pPr>
        <w:ind w:left="432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6" w:tplc="BFFA712E">
      <w:start w:val="1"/>
      <w:numFmt w:val="bullet"/>
      <w:lvlText w:val="•"/>
      <w:lvlJc w:val="left"/>
      <w:pPr>
        <w:ind w:left="504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7" w:tplc="78ACD7F2">
      <w:start w:val="1"/>
      <w:numFmt w:val="bullet"/>
      <w:lvlText w:val="o"/>
      <w:lvlJc w:val="left"/>
      <w:pPr>
        <w:ind w:left="576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lvl w:ilvl="8" w:tplc="1534EAAE">
      <w:start w:val="1"/>
      <w:numFmt w:val="bullet"/>
      <w:lvlText w:val="▪"/>
      <w:lvlJc w:val="left"/>
      <w:pPr>
        <w:ind w:left="6480"/>
      </w:pPr>
      <w:rPr>
        <w:rFonts w:ascii="Wingdings" w:hAnsi="Wingdings" w:eastAsia="Wingdings" w:cs="Wingdings"/>
        <w:b w:val="0"/>
        <w:i w:val="0"/>
        <w:strike w:val="0"/>
        <w:dstrike w:val="0"/>
        <w:color w:val="000000"/>
        <w:sz w:val="24"/>
        <w:szCs w:val="24"/>
        <w:u w:val="none" w:color="000000"/>
        <w:bdr w:val="none" w:color="auto" w:sz="0" w:space="0"/>
        <w:shd w:val="clear" w:color="auto" w:fill="auto"/>
        <w:vertAlign w:val="baseline"/>
      </w:rPr>
    </w:lvl>
  </w:abstractNum>
  <w:num w:numId="1" w16cid:durableId="1097753547">
    <w:abstractNumId w:val="1"/>
  </w:num>
  <w:num w:numId="2" w16cid:durableId="806698776">
    <w:abstractNumId w:val="3"/>
  </w:num>
  <w:num w:numId="3" w16cid:durableId="913705069">
    <w:abstractNumId w:val="4"/>
  </w:num>
  <w:num w:numId="4" w16cid:durableId="1045564914">
    <w:abstractNumId w:val="7"/>
  </w:num>
  <w:num w:numId="5" w16cid:durableId="528951620">
    <w:abstractNumId w:val="5"/>
  </w:num>
  <w:num w:numId="6" w16cid:durableId="1141342166">
    <w:abstractNumId w:val="0"/>
  </w:num>
  <w:num w:numId="7" w16cid:durableId="2122144344">
    <w:abstractNumId w:val="2"/>
  </w:num>
  <w:num w:numId="8" w16cid:durableId="1259606762">
    <w:abstractNumId w:val="6"/>
  </w:num>
</w:numbering>
</file>

<file path=word/people.xml><?xml version="1.0" encoding="utf-8"?>
<w15:people xmlns:mc="http://schemas.openxmlformats.org/markup-compatibility/2006" xmlns:w15="http://schemas.microsoft.com/office/word/2012/wordml" mc:Ignorable="w15">
  <w15:person w15:author="Brendan Brannigan">
    <w15:presenceInfo w15:providerId="AD" w15:userId="S::bbrannigan@littlebowden.leics.sch.uk::db5b61ee-96e4-411c-b9db-e58df1f9f0fa"/>
  </w15:person>
  <w15:person w15:author="Brendan Brannigan">
    <w15:presenceInfo w15:providerId="AD" w15:userId="S::bbrannigan@littlebowden.leics.sch.uk::db5b61ee-96e4-411c-b9db-e58df1f9f0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FE4"/>
    <w:rsid w:val="000255D2"/>
    <w:rsid w:val="000F3698"/>
    <w:rsid w:val="001409FE"/>
    <w:rsid w:val="00151DF5"/>
    <w:rsid w:val="0015228B"/>
    <w:rsid w:val="001B66FF"/>
    <w:rsid w:val="001D4BDC"/>
    <w:rsid w:val="001F3F07"/>
    <w:rsid w:val="00213833"/>
    <w:rsid w:val="00225F2E"/>
    <w:rsid w:val="00233BE1"/>
    <w:rsid w:val="00252F25"/>
    <w:rsid w:val="00267A74"/>
    <w:rsid w:val="002A0BFA"/>
    <w:rsid w:val="002C674E"/>
    <w:rsid w:val="002D776B"/>
    <w:rsid w:val="003317BD"/>
    <w:rsid w:val="00351528"/>
    <w:rsid w:val="003570B3"/>
    <w:rsid w:val="003C25AD"/>
    <w:rsid w:val="003E5433"/>
    <w:rsid w:val="004253B9"/>
    <w:rsid w:val="00430A46"/>
    <w:rsid w:val="0043590A"/>
    <w:rsid w:val="00482440"/>
    <w:rsid w:val="00484F78"/>
    <w:rsid w:val="004D3D3E"/>
    <w:rsid w:val="00542D1F"/>
    <w:rsid w:val="00581E7E"/>
    <w:rsid w:val="00583C2E"/>
    <w:rsid w:val="005B1565"/>
    <w:rsid w:val="005E405C"/>
    <w:rsid w:val="00624FE4"/>
    <w:rsid w:val="006440B9"/>
    <w:rsid w:val="006706EC"/>
    <w:rsid w:val="006A1A4D"/>
    <w:rsid w:val="006C0EEC"/>
    <w:rsid w:val="006F4722"/>
    <w:rsid w:val="007065A0"/>
    <w:rsid w:val="00731373"/>
    <w:rsid w:val="007455E8"/>
    <w:rsid w:val="007738BC"/>
    <w:rsid w:val="00793B94"/>
    <w:rsid w:val="007A6A25"/>
    <w:rsid w:val="007B12CE"/>
    <w:rsid w:val="007F0B4A"/>
    <w:rsid w:val="007F1466"/>
    <w:rsid w:val="00807CE5"/>
    <w:rsid w:val="008137F0"/>
    <w:rsid w:val="008224E8"/>
    <w:rsid w:val="008600C1"/>
    <w:rsid w:val="008B1106"/>
    <w:rsid w:val="008C4CEE"/>
    <w:rsid w:val="008D373C"/>
    <w:rsid w:val="00931BDF"/>
    <w:rsid w:val="00937E68"/>
    <w:rsid w:val="00971782"/>
    <w:rsid w:val="009A7CE5"/>
    <w:rsid w:val="009D41B5"/>
    <w:rsid w:val="009F632C"/>
    <w:rsid w:val="00A13B05"/>
    <w:rsid w:val="00A2749B"/>
    <w:rsid w:val="00A96D45"/>
    <w:rsid w:val="00AC59AC"/>
    <w:rsid w:val="00AC763E"/>
    <w:rsid w:val="00AD57F6"/>
    <w:rsid w:val="00B8516E"/>
    <w:rsid w:val="00BA2938"/>
    <w:rsid w:val="00C47ACA"/>
    <w:rsid w:val="00C72BCC"/>
    <w:rsid w:val="00CD4C77"/>
    <w:rsid w:val="00CF7790"/>
    <w:rsid w:val="00D20741"/>
    <w:rsid w:val="00D9636B"/>
    <w:rsid w:val="00E7340A"/>
    <w:rsid w:val="00E80D68"/>
    <w:rsid w:val="00EB0F15"/>
    <w:rsid w:val="00F15749"/>
    <w:rsid w:val="00F214C3"/>
    <w:rsid w:val="00F3329F"/>
    <w:rsid w:val="00F70DF1"/>
    <w:rsid w:val="00F71918"/>
    <w:rsid w:val="0AEA17B9"/>
    <w:rsid w:val="0B3837AE"/>
    <w:rsid w:val="1EA5BDE1"/>
    <w:rsid w:val="2A750E01"/>
    <w:rsid w:val="42FCE700"/>
    <w:rsid w:val="4FF4D132"/>
    <w:rsid w:val="5A729A84"/>
    <w:rsid w:val="5ED2879A"/>
    <w:rsid w:val="679FA45C"/>
    <w:rsid w:val="679FA45C"/>
    <w:rsid w:val="758D64BD"/>
    <w:rsid w:val="787640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6F53"/>
  <w15:chartTrackingRefBased/>
  <w15:docId w15:val="{DC878550-A458-490E-886D-8F300B629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624FE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4FE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4F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4F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4F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4F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4F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4F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4FE4"/>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24FE4"/>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24FE4"/>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24FE4"/>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24FE4"/>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24FE4"/>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24FE4"/>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24FE4"/>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24FE4"/>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24FE4"/>
    <w:rPr>
      <w:rFonts w:eastAsiaTheme="majorEastAsia" w:cstheme="majorBidi"/>
      <w:color w:val="272727" w:themeColor="text1" w:themeTint="D8"/>
    </w:rPr>
  </w:style>
  <w:style w:type="paragraph" w:styleId="Title">
    <w:name w:val="Title"/>
    <w:basedOn w:val="Normal"/>
    <w:next w:val="Normal"/>
    <w:link w:val="TitleChar"/>
    <w:uiPriority w:val="10"/>
    <w:qFormat/>
    <w:rsid w:val="00624FE4"/>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24FE4"/>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24FE4"/>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624F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FE4"/>
    <w:pPr>
      <w:spacing w:before="160"/>
      <w:jc w:val="center"/>
    </w:pPr>
    <w:rPr>
      <w:i/>
      <w:iCs/>
      <w:color w:val="404040" w:themeColor="text1" w:themeTint="BF"/>
    </w:rPr>
  </w:style>
  <w:style w:type="character" w:styleId="QuoteChar" w:customStyle="1">
    <w:name w:val="Quote Char"/>
    <w:basedOn w:val="DefaultParagraphFont"/>
    <w:link w:val="Quote"/>
    <w:uiPriority w:val="29"/>
    <w:rsid w:val="00624FE4"/>
    <w:rPr>
      <w:i/>
      <w:iCs/>
      <w:color w:val="404040" w:themeColor="text1" w:themeTint="BF"/>
    </w:rPr>
  </w:style>
  <w:style w:type="paragraph" w:styleId="ListParagraph">
    <w:name w:val="List Paragraph"/>
    <w:basedOn w:val="Normal"/>
    <w:uiPriority w:val="34"/>
    <w:qFormat/>
    <w:rsid w:val="00624FE4"/>
    <w:pPr>
      <w:ind w:left="720"/>
      <w:contextualSpacing/>
    </w:pPr>
  </w:style>
  <w:style w:type="character" w:styleId="IntenseEmphasis">
    <w:name w:val="Intense Emphasis"/>
    <w:basedOn w:val="DefaultParagraphFont"/>
    <w:uiPriority w:val="21"/>
    <w:qFormat/>
    <w:rsid w:val="00624FE4"/>
    <w:rPr>
      <w:i/>
      <w:iCs/>
      <w:color w:val="0F4761" w:themeColor="accent1" w:themeShade="BF"/>
    </w:rPr>
  </w:style>
  <w:style w:type="paragraph" w:styleId="IntenseQuote">
    <w:name w:val="Intense Quote"/>
    <w:basedOn w:val="Normal"/>
    <w:next w:val="Normal"/>
    <w:link w:val="IntenseQuoteChar"/>
    <w:uiPriority w:val="30"/>
    <w:qFormat/>
    <w:rsid w:val="00624FE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624FE4"/>
    <w:rPr>
      <w:i/>
      <w:iCs/>
      <w:color w:val="0F4761" w:themeColor="accent1" w:themeShade="BF"/>
    </w:rPr>
  </w:style>
  <w:style w:type="character" w:styleId="IntenseReference">
    <w:name w:val="Intense Reference"/>
    <w:basedOn w:val="DefaultParagraphFont"/>
    <w:uiPriority w:val="32"/>
    <w:qFormat/>
    <w:rsid w:val="00624FE4"/>
    <w:rPr>
      <w:b/>
      <w:bCs/>
      <w:smallCaps/>
      <w:color w:val="0F4761" w:themeColor="accent1" w:themeShade="BF"/>
      <w:spacing w:val="5"/>
    </w:rPr>
  </w:style>
  <w:style w:type="paragraph" w:styleId="NormalWeb">
    <w:name w:val="Normal (Web)"/>
    <w:basedOn w:val="Normal"/>
    <w:uiPriority w:val="99"/>
    <w:semiHidden/>
    <w:unhideWhenUsed/>
    <w:rsid w:val="00931BDF"/>
    <w:rPr>
      <w:rFonts w:ascii="Times New Roman" w:hAnsi="Times New Roman" w:cs="Times New Roman"/>
    </w:rPr>
  </w:style>
  <w:style w:type="table" w:styleId="TableGrid" w:customStyle="1">
    <w:name w:val="TableGrid"/>
    <w:rsid w:val="00931BDF"/>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2D776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412109">
      <w:bodyDiv w:val="1"/>
      <w:marLeft w:val="0"/>
      <w:marRight w:val="0"/>
      <w:marTop w:val="0"/>
      <w:marBottom w:val="0"/>
      <w:divBdr>
        <w:top w:val="none" w:sz="0" w:space="0" w:color="auto"/>
        <w:left w:val="none" w:sz="0" w:space="0" w:color="auto"/>
        <w:bottom w:val="none" w:sz="0" w:space="0" w:color="auto"/>
        <w:right w:val="none" w:sz="0" w:space="0" w:color="auto"/>
      </w:divBdr>
    </w:div>
    <w:div w:id="185067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omments" Target="comments.xml" Id="Ra2e9457cb7eb4583" /><Relationship Type="http://schemas.microsoft.com/office/2011/relationships/people" Target="people.xml" Id="R7a67f6956c6b4401" /><Relationship Type="http://schemas.microsoft.com/office/2011/relationships/commentsExtended" Target="commentsExtended.xml" Id="R58c435d623e24dec" /><Relationship Type="http://schemas.microsoft.com/office/2016/09/relationships/commentsIds" Target="commentsIds.xml" Id="R475982e11c7947f5" /><Relationship Type="http://schemas.microsoft.com/office/2018/08/relationships/commentsExtensible" Target="commentsExtensible.xml" Id="R303dfbf2a8b24aa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A98963-C788-4584-A93B-97F4E6F80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D046DE-4256-42A1-9A2B-8BF00648C4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Aaron Campion</dc:creator>
  <keywords/>
  <dc:description/>
  <lastModifiedBy>Brendan Brannigan</lastModifiedBy>
  <revision>3</revision>
  <dcterms:created xsi:type="dcterms:W3CDTF">2024-09-05T10:06:00.0000000Z</dcterms:created>
  <dcterms:modified xsi:type="dcterms:W3CDTF">2024-09-08T20:18:36.6905485Z</dcterms:modified>
</coreProperties>
</file>